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84D" w:rsidRDefault="001C384D"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097C" w:rsidRP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2018</w:t>
      </w: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7C" w:rsidRPr="00DB097C" w:rsidRDefault="00DB097C" w:rsidP="00DB097C">
      <w:pPr>
        <w:tabs>
          <w:tab w:val="right" w:pos="5933"/>
        </w:tabs>
        <w:suppressAutoHyphens/>
      </w:pPr>
      <w:r>
        <w:tab/>
      </w:r>
      <w:r>
        <w:rPr>
          <w:b/>
          <w:sz w:val="36"/>
        </w:rPr>
        <w:t>H. 4403</w:t>
      </w: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7C"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Pope, Clyburn and Bryant</w:t>
      </w: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3/7/18--H.</w:t>
      </w: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DB097C" w:rsidRPr="00DB097C"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7C" w:rsidRPr="00DB097C"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4403) </w:t>
      </w:r>
      <w:r w:rsidRPr="00DB097C">
        <w:rPr>
          <w:color w:val="000000" w:themeColor="text1"/>
          <w:u w:color="000000" w:themeColor="text1"/>
        </w:rPr>
        <w:t>to amend Section 16</w:t>
      </w:r>
      <w:r w:rsidRPr="00DB097C">
        <w:rPr>
          <w:color w:val="000000" w:themeColor="text1"/>
          <w:u w:color="000000" w:themeColor="text1"/>
        </w:rPr>
        <w:noBreakHyphen/>
        <w:t>11</w:t>
      </w:r>
      <w:r w:rsidRPr="00DB097C">
        <w:rPr>
          <w:color w:val="000000" w:themeColor="text1"/>
          <w:u w:color="000000" w:themeColor="text1"/>
        </w:rPr>
        <w:noBreakHyphen/>
        <w:t>600, Code of Laws of South Carolina, 1976, relating to trespassing and the posting of notice of trespassing</w:t>
      </w:r>
      <w:r>
        <w:t>, etc., respectfully</w:t>
      </w:r>
    </w:p>
    <w:p w:rsidR="00DB097C" w:rsidRPr="00DB097C"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7C" w:rsidRPr="00EA537B"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537B">
        <w:t>Amend the bill, as and if amended, by striking all after the enacting language and inserting:</w:t>
      </w:r>
    </w:p>
    <w:p w:rsidR="00DB097C" w:rsidRPr="00EA537B"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A537B">
        <w:t>/</w:t>
      </w:r>
      <w:r w:rsidRPr="00EA537B">
        <w:tab/>
      </w:r>
      <w:r w:rsidRPr="00EA537B">
        <w:rPr>
          <w:u w:color="000000" w:themeColor="text1"/>
        </w:rPr>
        <w:t>SECTION</w:t>
      </w:r>
      <w:r w:rsidRPr="00EA537B">
        <w:rPr>
          <w:u w:color="000000" w:themeColor="text1"/>
        </w:rPr>
        <w:tab/>
        <w:t>1.</w:t>
      </w:r>
      <w:r w:rsidRPr="00EA537B">
        <w:rPr>
          <w:u w:color="000000" w:themeColor="text1"/>
        </w:rPr>
        <w:tab/>
        <w:t>Section 16</w:t>
      </w:r>
      <w:r w:rsidRPr="00EA537B">
        <w:rPr>
          <w:u w:color="000000" w:themeColor="text1"/>
        </w:rPr>
        <w:noBreakHyphen/>
        <w:t>11</w:t>
      </w:r>
      <w:r w:rsidRPr="00EA537B">
        <w:rPr>
          <w:u w:color="000000" w:themeColor="text1"/>
        </w:rPr>
        <w:noBreakHyphen/>
        <w:t>600 of the 1976 Code is amended to read:</w:t>
      </w:r>
    </w:p>
    <w:p w:rsidR="00DB097C" w:rsidRPr="00EA537B"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rPr>
          <w:u w:color="000000" w:themeColor="text1"/>
        </w:rPr>
        <w:tab/>
        <w:t>“Section 16</w:t>
      </w:r>
      <w:r w:rsidRPr="00EA537B">
        <w:rPr>
          <w:u w:color="000000" w:themeColor="text1"/>
        </w:rPr>
        <w:noBreakHyphen/>
        <w:t>11</w:t>
      </w:r>
      <w:r w:rsidRPr="00EA537B">
        <w:rPr>
          <w:u w:color="000000" w:themeColor="text1"/>
        </w:rPr>
        <w:noBreakHyphen/>
        <w:t>600.</w:t>
      </w:r>
      <w:r w:rsidRPr="00EA537B">
        <w:rPr>
          <w:u w:color="000000" w:themeColor="text1"/>
        </w:rPr>
        <w:tab/>
      </w:r>
      <w:r w:rsidRPr="00EA537B">
        <w:rPr>
          <w:u w:val="single"/>
        </w:rPr>
        <w:t>(A)</w:t>
      </w:r>
      <w:r w:rsidRPr="00EA537B">
        <w:tab/>
        <w:t xml:space="preserve">Every entry upon the lands of another where any horse, mule, cow, hog or any other livestock is pastured, or any other lands of another, after notice from the owner or tenant </w:t>
      </w:r>
      <w:r w:rsidRPr="00EA537B">
        <w:rPr>
          <w:u w:val="single"/>
        </w:rPr>
        <w:t>has been posted</w:t>
      </w:r>
      <w:r w:rsidRPr="00EA537B">
        <w:t xml:space="preserve"> prohibiting such entry, </w:t>
      </w:r>
      <w:r w:rsidRPr="00EA537B">
        <w:rPr>
          <w:strike/>
        </w:rPr>
        <w:t>shall be</w:t>
      </w:r>
      <w:r w:rsidRPr="00EA537B">
        <w:t xml:space="preserve"> </w:t>
      </w:r>
      <w:r w:rsidRPr="00EA537B">
        <w:rPr>
          <w:u w:val="single"/>
        </w:rPr>
        <w:t>is</w:t>
      </w:r>
      <w:r w:rsidRPr="00EA537B">
        <w:t xml:space="preserve"> a misdemeanor and </w:t>
      </w:r>
      <w:r w:rsidRPr="00EA537B">
        <w:rPr>
          <w:u w:val="single"/>
        </w:rPr>
        <w:t>must</w:t>
      </w:r>
      <w:r w:rsidRPr="00EA537B">
        <w:t xml:space="preserve"> be punished by a fine </w:t>
      </w:r>
      <w:r w:rsidRPr="00EA537B">
        <w:rPr>
          <w:u w:val="single"/>
        </w:rPr>
        <w:t>of</w:t>
      </w:r>
      <w:r w:rsidRPr="00EA537B">
        <w:t xml:space="preserve"> not </w:t>
      </w:r>
      <w:r w:rsidRPr="00EA537B">
        <w:rPr>
          <w:strike/>
        </w:rPr>
        <w:t>to exceed</w:t>
      </w:r>
      <w:r w:rsidRPr="00EA537B">
        <w:t xml:space="preserve"> </w:t>
      </w:r>
      <w:r w:rsidRPr="00EA537B">
        <w:rPr>
          <w:u w:val="single"/>
        </w:rPr>
        <w:t>more than</w:t>
      </w:r>
      <w:r w:rsidRPr="00EA537B">
        <w:t xml:space="preserve"> one hundred dollars</w:t>
      </w:r>
      <w:r w:rsidRPr="00EA537B">
        <w:rPr>
          <w:strike/>
        </w:rPr>
        <w:t>,</w:t>
      </w:r>
      <w:r w:rsidRPr="00EA537B">
        <w:t xml:space="preserve"> or by imprisonment </w:t>
      </w:r>
      <w:r w:rsidRPr="00EA537B">
        <w:rPr>
          <w:strike/>
        </w:rPr>
        <w:t>with hard labor on the public works of the county for</w:t>
      </w:r>
      <w:r w:rsidRPr="00EA537B">
        <w:t xml:space="preserve"> not </w:t>
      </w:r>
      <w:r w:rsidRPr="00EA537B">
        <w:rPr>
          <w:strike/>
        </w:rPr>
        <w:t>exceeding</w:t>
      </w:r>
      <w:r w:rsidRPr="00EA537B">
        <w:t xml:space="preserve"> </w:t>
      </w:r>
      <w:r w:rsidRPr="00EA537B">
        <w:rPr>
          <w:u w:val="single"/>
        </w:rPr>
        <w:t>more than</w:t>
      </w:r>
      <w:r w:rsidRPr="00EA537B">
        <w:t xml:space="preserve"> thirty days. </w:t>
      </w:r>
      <w:r w:rsidRPr="00EA537B">
        <w:rPr>
          <w:strike/>
        </w:rPr>
        <w:t>When any owner or tenant of any lands shall post a notice in four conspicuous places on the borders of such land prohibiting entry thereon, a proof of the posting shall be deemed and taken as notice conclusive against the person making entry, as aforesaid, for the purpose of trespassing.</w:t>
      </w:r>
    </w:p>
    <w:p w:rsidR="00DB097C" w:rsidRPr="00EA537B"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rPr>
          <w:u w:val="single"/>
        </w:rPr>
        <w:t>(B)</w:t>
      </w:r>
      <w:r w:rsidRPr="00EA537B">
        <w:tab/>
      </w:r>
      <w:r w:rsidRPr="00EA537B">
        <w:rPr>
          <w:u w:val="single"/>
        </w:rPr>
        <w:t>The owner or tenant of any lands may accomplish the required posting of notice as follows:</w:t>
      </w:r>
    </w:p>
    <w:p w:rsidR="00DB097C" w:rsidRPr="00EA537B"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lastRenderedPageBreak/>
        <w:tab/>
      </w:r>
      <w:r w:rsidRPr="00EA537B">
        <w:tab/>
      </w:r>
      <w:r w:rsidRPr="00EA537B">
        <w:rPr>
          <w:u w:val="single"/>
        </w:rPr>
        <w:t>(1)</w:t>
      </w:r>
      <w:r w:rsidRPr="00EA537B">
        <w:tab/>
      </w:r>
      <w:r w:rsidRPr="00EA537B">
        <w:rPr>
          <w:u w:val="single"/>
        </w:rPr>
        <w:t>by posting a notice in four conspicuous places on the borders of such land prohibiting entry thereon; or</w:t>
      </w:r>
    </w:p>
    <w:p w:rsidR="00DB097C" w:rsidRPr="00EA537B"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(2)</w:t>
      </w:r>
      <w:r w:rsidRPr="00EA537B">
        <w:tab/>
      </w:r>
      <w:r w:rsidRPr="00EA537B">
        <w:rPr>
          <w:u w:val="single"/>
        </w:rPr>
        <w:t>by marking boundaries with a clearly visible purple</w:t>
      </w:r>
      <w:r w:rsidRPr="00EA537B">
        <w:rPr>
          <w:u w:val="single"/>
        </w:rPr>
        <w:noBreakHyphen/>
        <w:t>painted marking, consisting of one vertical line not less than eight inches in length and two inches in width, and the bottom of the mark not less than three nor more than six feet from the ground or normal water surface.  These marks must be affixed to immovable, permanent objects that are not more than one hundred yards apart and readily visible to any person approaching the property.</w:t>
      </w:r>
    </w:p>
    <w:p w:rsidR="00DB097C" w:rsidRPr="00EA537B"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tab/>
      </w:r>
      <w:r w:rsidRPr="00EA537B">
        <w:rPr>
          <w:u w:val="single"/>
        </w:rPr>
        <w:t>(C)</w:t>
      </w:r>
      <w:r w:rsidRPr="00EA537B">
        <w:tab/>
      </w:r>
      <w:r w:rsidRPr="00EA537B">
        <w:rPr>
          <w:u w:val="single"/>
        </w:rPr>
        <w:t>When any owner of tenant of any lands shall post a notice as provided in this section, a proof of the posting is deemed and taken as notice conclusive against the person making entry for the purpose of trespassing.</w:t>
      </w:r>
      <w:r w:rsidRPr="00EA537B">
        <w:t>”</w:t>
      </w:r>
    </w:p>
    <w:p w:rsidR="00DB097C" w:rsidRPr="00EA537B"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537B">
        <w:t>SECTION</w:t>
      </w:r>
      <w:r w:rsidRPr="00EA537B">
        <w:tab/>
        <w:t>2.</w:t>
      </w:r>
      <w:r w:rsidRPr="00EA537B">
        <w:tab/>
        <w:t>This act takes effect upon approval by the Governor.</w:t>
      </w:r>
      <w:r w:rsidRPr="00EA537B">
        <w:tab/>
        <w:t>/</w:t>
      </w:r>
    </w:p>
    <w:p w:rsidR="00DB097C" w:rsidRPr="00EA537B"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537B">
        <w:t>Renumber sections to conform.</w:t>
      </w:r>
    </w:p>
    <w:p w:rsidR="00DB097C"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537B">
        <w:t>Amend title to conform.</w:t>
      </w:r>
    </w:p>
    <w:p w:rsidR="00DB097C" w:rsidRPr="00EA537B"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DB097C" w:rsidRPr="00DB097C" w:rsidRDefault="00DB097C" w:rsidP="00DB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097C" w:rsidSect="00DB09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443B" w:rsidRDefault="009E443B"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46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31F" w:rsidRPr="00BD5D62"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BD5D62">
        <w:rPr>
          <w:color w:val="000000" w:themeColor="text1"/>
          <w:u w:color="000000" w:themeColor="text1"/>
        </w:rPr>
        <w:t>O AMEND SECTION 16</w:t>
      </w:r>
      <w:r w:rsidR="00437434">
        <w:rPr>
          <w:color w:val="000000" w:themeColor="text1"/>
          <w:u w:color="000000" w:themeColor="text1"/>
        </w:rPr>
        <w:noBreakHyphen/>
      </w:r>
      <w:r w:rsidRPr="00BD5D62">
        <w:rPr>
          <w:color w:val="000000" w:themeColor="text1"/>
          <w:u w:color="000000" w:themeColor="text1"/>
        </w:rPr>
        <w:t>11</w:t>
      </w:r>
      <w:r w:rsidR="00437434">
        <w:rPr>
          <w:color w:val="000000" w:themeColor="text1"/>
          <w:u w:color="000000" w:themeColor="text1"/>
        </w:rPr>
        <w:noBreakHyphen/>
      </w:r>
      <w:r w:rsidRPr="00BD5D62">
        <w:rPr>
          <w:color w:val="000000" w:themeColor="text1"/>
          <w:u w:color="000000" w:themeColor="text1"/>
        </w:rPr>
        <w:t>600, CODE OF LAWS OF SOUTH CAROLINA, 1976, RELATING TO TRESPASSING AND THE POSTING OF NOTICE OF TRESPASSING, SO AS TO ALLOW FOR A DIFFERENT METHOD OF THE POSTING OF NOTICE OF TRESPASSING INVOLVING CLEARLY VISIBLE PURPLE</w:t>
      </w:r>
      <w:r w:rsidR="00437434">
        <w:rPr>
          <w:color w:val="000000" w:themeColor="text1"/>
          <w:u w:color="000000" w:themeColor="text1"/>
        </w:rPr>
        <w:noBreakHyphen/>
      </w:r>
      <w:r w:rsidRPr="00BD5D62">
        <w:rPr>
          <w:color w:val="000000" w:themeColor="text1"/>
          <w:u w:color="000000" w:themeColor="text1"/>
        </w:rPr>
        <w:t>PAINTED BOUNDARIES.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6FB" w:rsidRDefault="00D74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031F" w:rsidRPr="00BD5D62"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31F" w:rsidRPr="00BD5D62"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5D62">
        <w:rPr>
          <w:color w:val="000000" w:themeColor="text1"/>
          <w:u w:color="000000" w:themeColor="text1"/>
        </w:rPr>
        <w:t>SECTION</w:t>
      </w:r>
      <w:r w:rsidRPr="00BD5D62">
        <w:rPr>
          <w:color w:val="000000" w:themeColor="text1"/>
          <w:u w:color="000000" w:themeColor="text1"/>
        </w:rPr>
        <w:tab/>
        <w:t>1.</w:t>
      </w:r>
      <w:r w:rsidRPr="00BD5D62">
        <w:rPr>
          <w:color w:val="000000" w:themeColor="text1"/>
          <w:u w:color="000000" w:themeColor="text1"/>
        </w:rPr>
        <w:tab/>
        <w:t>Section 16</w:t>
      </w:r>
      <w:r w:rsidR="00437434">
        <w:rPr>
          <w:color w:val="000000" w:themeColor="text1"/>
          <w:u w:color="000000" w:themeColor="text1"/>
        </w:rPr>
        <w:noBreakHyphen/>
      </w:r>
      <w:r w:rsidRPr="00BD5D62">
        <w:rPr>
          <w:color w:val="000000" w:themeColor="text1"/>
          <w:u w:color="000000" w:themeColor="text1"/>
        </w:rPr>
        <w:t>11</w:t>
      </w:r>
      <w:r w:rsidR="00437434">
        <w:rPr>
          <w:color w:val="000000" w:themeColor="text1"/>
          <w:u w:color="000000" w:themeColor="text1"/>
        </w:rPr>
        <w:noBreakHyphen/>
      </w:r>
      <w:r w:rsidRPr="00BD5D62">
        <w:rPr>
          <w:color w:val="000000" w:themeColor="text1"/>
          <w:u w:color="000000" w:themeColor="text1"/>
        </w:rPr>
        <w:t>600 of the 1976 Code is amended to read:</w:t>
      </w:r>
    </w:p>
    <w:p w:rsidR="0008031F" w:rsidRPr="00BD5D62"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31F"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5D62">
        <w:rPr>
          <w:color w:val="000000" w:themeColor="text1"/>
          <w:u w:color="000000" w:themeColor="text1"/>
        </w:rPr>
        <w:tab/>
        <w:t>“Section 16</w:t>
      </w:r>
      <w:r w:rsidR="00437434">
        <w:rPr>
          <w:color w:val="000000" w:themeColor="text1"/>
          <w:u w:color="000000" w:themeColor="text1"/>
        </w:rPr>
        <w:noBreakHyphen/>
      </w:r>
      <w:r w:rsidRPr="00BD5D62">
        <w:rPr>
          <w:color w:val="000000" w:themeColor="text1"/>
          <w:u w:color="000000" w:themeColor="text1"/>
        </w:rPr>
        <w:t>11</w:t>
      </w:r>
      <w:r w:rsidR="00437434">
        <w:rPr>
          <w:color w:val="000000" w:themeColor="text1"/>
          <w:u w:color="000000" w:themeColor="text1"/>
        </w:rPr>
        <w:noBreakHyphen/>
      </w:r>
      <w:r>
        <w:rPr>
          <w:color w:val="000000" w:themeColor="text1"/>
          <w:u w:color="000000" w:themeColor="text1"/>
        </w:rPr>
        <w:t>600.</w:t>
      </w:r>
      <w:r w:rsidRPr="00F47EC3">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F47EC3">
        <w:rPr>
          <w:color w:val="000000" w:themeColor="text1"/>
          <w:u w:color="000000" w:themeColor="text1"/>
        </w:rPr>
        <w:t>Every entry upon the lands of another where any horse, mule, cow, hog</w:t>
      </w:r>
      <w:r>
        <w:rPr>
          <w:color w:val="000000" w:themeColor="text1"/>
          <w:u w:val="single" w:color="000000" w:themeColor="text1"/>
        </w:rPr>
        <w:t>,</w:t>
      </w:r>
      <w:r>
        <w:rPr>
          <w:color w:val="000000" w:themeColor="text1"/>
          <w:u w:color="000000" w:themeColor="text1"/>
        </w:rPr>
        <w:t xml:space="preserve"> </w:t>
      </w:r>
      <w:r w:rsidRPr="00F47EC3">
        <w:rPr>
          <w:color w:val="000000" w:themeColor="text1"/>
          <w:u w:color="000000" w:themeColor="text1"/>
        </w:rPr>
        <w:t xml:space="preserve">or any other livestock is pastured, or any other lands of another, after notice from the owner or tenant prohibiting such entry, </w:t>
      </w:r>
      <w:r w:rsidRPr="0008031F">
        <w:rPr>
          <w:strike/>
          <w:color w:val="000000" w:themeColor="text1"/>
          <w:u w:color="000000" w:themeColor="text1"/>
        </w:rPr>
        <w:t>shall be</w:t>
      </w:r>
      <w:r w:rsidRPr="00F47EC3">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F47EC3">
        <w:rPr>
          <w:color w:val="000000" w:themeColor="text1"/>
          <w:u w:color="000000" w:themeColor="text1"/>
        </w:rPr>
        <w:t xml:space="preserve">a misdemeanor and </w:t>
      </w:r>
      <w:r w:rsidR="00A052FE">
        <w:rPr>
          <w:color w:val="000000" w:themeColor="text1"/>
          <w:u w:val="single" w:color="000000" w:themeColor="text1"/>
        </w:rPr>
        <w:t>must</w:t>
      </w:r>
      <w:r w:rsidR="00A052FE">
        <w:rPr>
          <w:color w:val="000000" w:themeColor="text1"/>
          <w:u w:color="000000" w:themeColor="text1"/>
        </w:rPr>
        <w:t xml:space="preserve"> </w:t>
      </w:r>
      <w:r w:rsidRPr="00F47EC3">
        <w:rPr>
          <w:color w:val="000000" w:themeColor="text1"/>
          <w:u w:color="000000" w:themeColor="text1"/>
        </w:rPr>
        <w:t xml:space="preserve">be punished by a fine </w:t>
      </w:r>
      <w:r>
        <w:rPr>
          <w:color w:val="000000" w:themeColor="text1"/>
          <w:u w:val="single" w:color="000000" w:themeColor="text1"/>
        </w:rPr>
        <w:t>of</w:t>
      </w:r>
      <w:r>
        <w:rPr>
          <w:color w:val="000000" w:themeColor="text1"/>
          <w:u w:color="000000" w:themeColor="text1"/>
        </w:rPr>
        <w:t xml:space="preserve"> </w:t>
      </w:r>
      <w:r w:rsidRPr="00F47EC3">
        <w:rPr>
          <w:color w:val="000000" w:themeColor="text1"/>
          <w:u w:color="000000" w:themeColor="text1"/>
        </w:rPr>
        <w:t xml:space="preserve">not </w:t>
      </w:r>
      <w:r w:rsidRPr="0008031F">
        <w:rPr>
          <w:strike/>
          <w:color w:val="000000" w:themeColor="text1"/>
          <w:u w:color="000000" w:themeColor="text1"/>
        </w:rPr>
        <w:t>to exceed</w:t>
      </w:r>
      <w:r w:rsidRPr="00F47EC3">
        <w:rPr>
          <w:color w:val="000000" w:themeColor="text1"/>
          <w:u w:color="000000" w:themeColor="text1"/>
        </w:rPr>
        <w:t xml:space="preserve"> </w:t>
      </w:r>
      <w:r>
        <w:rPr>
          <w:color w:val="000000" w:themeColor="text1"/>
          <w:u w:val="single" w:color="000000" w:themeColor="text1"/>
        </w:rPr>
        <w:t>more than</w:t>
      </w:r>
      <w:r>
        <w:rPr>
          <w:color w:val="000000" w:themeColor="text1"/>
          <w:u w:color="000000" w:themeColor="text1"/>
        </w:rPr>
        <w:t xml:space="preserve"> </w:t>
      </w:r>
      <w:r w:rsidRPr="00F47EC3">
        <w:rPr>
          <w:color w:val="000000" w:themeColor="text1"/>
          <w:u w:color="000000" w:themeColor="text1"/>
        </w:rPr>
        <w:t>one hundred dollars</w:t>
      </w:r>
      <w:r w:rsidRPr="0008031F">
        <w:rPr>
          <w:strike/>
          <w:color w:val="000000" w:themeColor="text1"/>
          <w:u w:color="000000" w:themeColor="text1"/>
        </w:rPr>
        <w:t>,</w:t>
      </w:r>
      <w:r w:rsidRPr="00F47EC3">
        <w:rPr>
          <w:color w:val="000000" w:themeColor="text1"/>
          <w:u w:color="000000" w:themeColor="text1"/>
        </w:rPr>
        <w:t xml:space="preserve"> or by imprisonment </w:t>
      </w:r>
      <w:r w:rsidRPr="0008031F">
        <w:rPr>
          <w:strike/>
          <w:color w:val="000000" w:themeColor="text1"/>
          <w:u w:color="000000" w:themeColor="text1"/>
        </w:rPr>
        <w:t>with hard labor on the public works of the county for</w:t>
      </w:r>
      <w:r w:rsidRPr="00F47EC3">
        <w:rPr>
          <w:color w:val="000000" w:themeColor="text1"/>
          <w:u w:color="000000" w:themeColor="text1"/>
        </w:rPr>
        <w:t xml:space="preserve"> not </w:t>
      </w:r>
      <w:r w:rsidRPr="0008031F">
        <w:rPr>
          <w:strike/>
          <w:color w:val="000000" w:themeColor="text1"/>
          <w:u w:color="000000" w:themeColor="text1"/>
        </w:rPr>
        <w:t>exceeding</w:t>
      </w:r>
      <w:r w:rsidRPr="00F47EC3">
        <w:rPr>
          <w:color w:val="000000" w:themeColor="text1"/>
          <w:u w:color="000000" w:themeColor="text1"/>
        </w:rPr>
        <w:t xml:space="preserve"> </w:t>
      </w:r>
      <w:r>
        <w:rPr>
          <w:color w:val="000000" w:themeColor="text1"/>
          <w:u w:val="single" w:color="000000" w:themeColor="text1"/>
        </w:rPr>
        <w:t>more than</w:t>
      </w:r>
      <w:r>
        <w:rPr>
          <w:color w:val="000000" w:themeColor="text1"/>
          <w:u w:color="000000" w:themeColor="text1"/>
        </w:rPr>
        <w:t xml:space="preserve"> </w:t>
      </w:r>
      <w:r w:rsidRPr="00F47EC3">
        <w:rPr>
          <w:color w:val="000000" w:themeColor="text1"/>
          <w:u w:color="000000" w:themeColor="text1"/>
        </w:rPr>
        <w:t xml:space="preserve">thirty days. When any owner or tenant of any lands shall post a notice in four conspicuous places on the borders of such land prohibiting entry thereon, a proof of the posting </w:t>
      </w:r>
      <w:r w:rsidRPr="0008031F">
        <w:rPr>
          <w:strike/>
          <w:color w:val="000000" w:themeColor="text1"/>
          <w:u w:color="000000" w:themeColor="text1"/>
        </w:rPr>
        <w:t>shall be</w:t>
      </w:r>
      <w:r w:rsidRPr="00F47EC3">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F47EC3">
        <w:rPr>
          <w:color w:val="000000" w:themeColor="text1"/>
          <w:u w:color="000000" w:themeColor="text1"/>
        </w:rPr>
        <w:t>deemed and taken as notice conclusive against the person making entry</w:t>
      </w:r>
      <w:r w:rsidRPr="0008031F">
        <w:rPr>
          <w:strike/>
          <w:color w:val="000000" w:themeColor="text1"/>
          <w:u w:color="000000" w:themeColor="text1"/>
        </w:rPr>
        <w:t>, as aforesaid,</w:t>
      </w:r>
      <w:r w:rsidRPr="00F47EC3">
        <w:rPr>
          <w:color w:val="000000" w:themeColor="text1"/>
          <w:u w:color="000000" w:themeColor="text1"/>
        </w:rPr>
        <w:t xml:space="preserve"> for the purpose of trespassing.</w:t>
      </w:r>
    </w:p>
    <w:p w:rsidR="0008031F"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00B83AE9" w:rsidRPr="00B83AE9">
        <w:rPr>
          <w:color w:val="000000" w:themeColor="text1"/>
          <w:u w:color="000000" w:themeColor="text1"/>
        </w:rPr>
        <w:tab/>
      </w:r>
      <w:r>
        <w:rPr>
          <w:color w:val="000000" w:themeColor="text1"/>
          <w:u w:val="single" w:color="000000" w:themeColor="text1"/>
        </w:rPr>
        <w:t>In lieu of the posting of notice provided in subsection (A), the owner or tenant of any land may mark boundarie</w:t>
      </w:r>
      <w:r w:rsidR="00A052FE">
        <w:rPr>
          <w:color w:val="000000" w:themeColor="text1"/>
          <w:u w:val="single" w:color="000000" w:themeColor="text1"/>
        </w:rPr>
        <w:t>s with a clearly visible purple</w:t>
      </w:r>
      <w:r w:rsidR="00437434">
        <w:rPr>
          <w:color w:val="000000" w:themeColor="text1"/>
          <w:u w:val="single" w:color="000000" w:themeColor="text1"/>
        </w:rPr>
        <w:noBreakHyphen/>
      </w:r>
      <w:r>
        <w:rPr>
          <w:color w:val="000000" w:themeColor="text1"/>
          <w:u w:val="single" w:color="000000" w:themeColor="text1"/>
        </w:rPr>
        <w:t xml:space="preserve">painted marking, consisting of one vertical line no less than eight inches in length and two inches in width, and the bottom of the mark not less than three nor more than six feet from the ground or normal water surface.  These marks must be affixed to immovable, permanent objects </w:t>
      </w:r>
      <w:r w:rsidR="00660B3E">
        <w:rPr>
          <w:color w:val="000000" w:themeColor="text1"/>
          <w:u w:val="single" w:color="000000" w:themeColor="text1"/>
        </w:rPr>
        <w:t xml:space="preserve">that are no more than one hundred feet apart </w:t>
      </w:r>
      <w:r w:rsidR="00BF3493">
        <w:rPr>
          <w:color w:val="000000" w:themeColor="text1"/>
          <w:u w:val="single" w:color="000000" w:themeColor="text1"/>
        </w:rPr>
        <w:t xml:space="preserve">and readily visible to any person approaching the property.  </w:t>
      </w:r>
      <w:r w:rsidR="00BF3493">
        <w:rPr>
          <w:color w:val="000000" w:themeColor="text1"/>
          <w:u w:val="single" w:color="000000" w:themeColor="text1"/>
        </w:rPr>
        <w:lastRenderedPageBreak/>
        <w:t>Signs also must be posted at all roads, driveways, or gates of entry onto the posted land so as to be clearly noticeable from outside the boundary line.</w:t>
      </w:r>
      <w:r w:rsidR="00BF3493">
        <w:rPr>
          <w:color w:val="000000" w:themeColor="text1"/>
          <w:u w:color="000000" w:themeColor="text1"/>
        </w:rPr>
        <w:t>”</w:t>
      </w:r>
    </w:p>
    <w:p w:rsidR="00BF3493" w:rsidRDefault="00BF3493"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6FB" w:rsidRDefault="00D74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3493">
        <w:t>2</w:t>
      </w:r>
      <w:r>
        <w:t>.</w:t>
      </w:r>
      <w:r>
        <w:tab/>
        <w:t>This act takes effect upon approval by the Governor.</w:t>
      </w:r>
    </w:p>
    <w:p w:rsidR="00691B67" w:rsidRDefault="004374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3E1" w:rsidRDefault="005523E1" w:rsidP="005523E1">
      <w:pPr>
        <w:suppressAutoHyphens/>
      </w:pPr>
    </w:p>
    <w:sectPr w:rsidR="005523E1" w:rsidSect="00DB09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31F" w:rsidRDefault="0008031F" w:rsidP="009F0C77">
      <w:r>
        <w:separator/>
      </w:r>
    </w:p>
  </w:endnote>
  <w:endnote w:type="continuationSeparator" w:id="0">
    <w:p w:rsidR="0008031F" w:rsidRDefault="000803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3DD256-F45F-4B4C-8CDF-5FBF22D5A13E}"/>
    <w:embedBold r:id="rId2" w:fontKey="{4DE560B3-C28A-4124-A8AA-98E85E1E1E6E}"/>
  </w:font>
  <w:font w:name="Calibri">
    <w:panose1 w:val="020F0502020204030204"/>
    <w:charset w:val="00"/>
    <w:family w:val="swiss"/>
    <w:pitch w:val="variable"/>
    <w:sig w:usb0="E00002FF" w:usb1="4000ACFF" w:usb2="00000001" w:usb3="00000000" w:csb0="0000019F" w:csb1="00000000"/>
    <w:embedRegular r:id="rId3" w:fontKey="{0AB38277-52EF-4104-A54C-352A2515D46B}"/>
  </w:font>
  <w:font w:name="Segoe UI">
    <w:panose1 w:val="020B0502040204020203"/>
    <w:charset w:val="00"/>
    <w:family w:val="swiss"/>
    <w:pitch w:val="variable"/>
    <w:sig w:usb0="E10022FF" w:usb1="C000E47F" w:usb2="00000029" w:usb3="00000000" w:csb0="000001DF" w:csb1="00000000"/>
    <w:embedRegular r:id="rId4" w:fontKey="{EE9BE322-5AAC-46F7-81B0-DD860FF8E718}"/>
  </w:font>
  <w:font w:name="Cambria">
    <w:panose1 w:val="02040503050406030204"/>
    <w:charset w:val="00"/>
    <w:family w:val="roman"/>
    <w:pitch w:val="variable"/>
    <w:sig w:usb0="E00002FF" w:usb1="400004FF" w:usb2="00000000" w:usb3="00000000" w:csb0="0000019F" w:csb1="00000000"/>
    <w:embedRegular r:id="rId5" w:fontKey="{30AF60E7-3FD2-4AA8-A132-8870FA9E10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B67" w:rsidRPr="009E443B" w:rsidRDefault="009E443B" w:rsidP="009E443B">
    <w:pPr>
      <w:pStyle w:val="Footer"/>
      <w:tabs>
        <w:tab w:val="clear" w:pos="4680"/>
        <w:tab w:val="clear" w:pos="9360"/>
        <w:tab w:val="center" w:pos="2995"/>
      </w:tabs>
      <w:spacing w:before="120"/>
    </w:pPr>
    <w:r>
      <w:t>[4403</w:t>
    </w:r>
    <w:r w:rsidR="00DB097C">
      <w:t>-</w:t>
    </w:r>
    <w:r w:rsidR="00DB097C">
      <w:fldChar w:fldCharType="begin"/>
    </w:r>
    <w:r w:rsidR="00DB097C">
      <w:instrText xml:space="preserve"> PAGE  \* MERGEFORMAT </w:instrText>
    </w:r>
    <w:r w:rsidR="00DB097C">
      <w:fldChar w:fldCharType="separate"/>
    </w:r>
    <w:r w:rsidR="005523E1">
      <w:rPr>
        <w:noProof/>
      </w:rPr>
      <w:t>2</w:t>
    </w:r>
    <w:r w:rsidR="00DB097C">
      <w:fldChar w:fldCharType="end"/>
    </w:r>
    <w:r w:rsidR="00DB09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97C" w:rsidRPr="009E443B" w:rsidRDefault="00DB097C" w:rsidP="009E443B">
    <w:pPr>
      <w:pStyle w:val="Footer"/>
      <w:tabs>
        <w:tab w:val="clear" w:pos="4680"/>
        <w:tab w:val="clear" w:pos="9360"/>
        <w:tab w:val="center" w:pos="2995"/>
      </w:tabs>
      <w:spacing w:before="120"/>
    </w:pPr>
    <w:r>
      <w:t>[4403]</w:t>
    </w:r>
    <w:r>
      <w:tab/>
    </w:r>
    <w:r>
      <w:fldChar w:fldCharType="begin"/>
    </w:r>
    <w:r>
      <w:instrText xml:space="preserve"> PAGE  \* MERGEFORMAT </w:instrText>
    </w:r>
    <w:r>
      <w:fldChar w:fldCharType="separate"/>
    </w:r>
    <w:r w:rsidR="005523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31F" w:rsidRDefault="0008031F" w:rsidP="009F0C77">
      <w:r>
        <w:separator/>
      </w:r>
    </w:p>
  </w:footnote>
  <w:footnote w:type="continuationSeparator" w:id="0">
    <w:p w:rsidR="0008031F" w:rsidRDefault="000803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AHB18"/>
    <w:docVar w:name="CoverBillType" w:val="b"/>
    <w:docVar w:name="DocPath" w:val="L:\Council\bills\BH\7129AHB18.DOCX"/>
    <w:docVar w:name="dvBillNumber" w:val="4403"/>
    <w:docVar w:name="dvBillNumberPrefix" w:val="H. "/>
    <w:docVar w:name="dvOriginalBody" w:val="House"/>
    <w:docVar w:name="dvSteno" w:val="BH"/>
    <w:docVar w:name="NameofBody" w:val="h"/>
    <w:docVar w:name="vGroup2" w:val="Council"/>
  </w:docVars>
  <w:rsids>
    <w:rsidRoot w:val="00D746FB"/>
    <w:rsid w:val="000061F6"/>
    <w:rsid w:val="00011869"/>
    <w:rsid w:val="00015CD6"/>
    <w:rsid w:val="0008031F"/>
    <w:rsid w:val="000E0100"/>
    <w:rsid w:val="000E1785"/>
    <w:rsid w:val="000F40FA"/>
    <w:rsid w:val="001035F1"/>
    <w:rsid w:val="0010776B"/>
    <w:rsid w:val="00133E66"/>
    <w:rsid w:val="001435A3"/>
    <w:rsid w:val="00146ED3"/>
    <w:rsid w:val="00151044"/>
    <w:rsid w:val="001C384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7434"/>
    <w:rsid w:val="004403BD"/>
    <w:rsid w:val="00461441"/>
    <w:rsid w:val="004809EE"/>
    <w:rsid w:val="004E7D54"/>
    <w:rsid w:val="005273C6"/>
    <w:rsid w:val="00530A69"/>
    <w:rsid w:val="00545593"/>
    <w:rsid w:val="005523E1"/>
    <w:rsid w:val="00556EBF"/>
    <w:rsid w:val="00577C6C"/>
    <w:rsid w:val="005A62FE"/>
    <w:rsid w:val="005C2FE2"/>
    <w:rsid w:val="005E2BC9"/>
    <w:rsid w:val="00605102"/>
    <w:rsid w:val="006215AA"/>
    <w:rsid w:val="00660B3E"/>
    <w:rsid w:val="006913C9"/>
    <w:rsid w:val="00691B67"/>
    <w:rsid w:val="0069470D"/>
    <w:rsid w:val="006D58AA"/>
    <w:rsid w:val="00734F00"/>
    <w:rsid w:val="007A70AE"/>
    <w:rsid w:val="008362E8"/>
    <w:rsid w:val="0085786E"/>
    <w:rsid w:val="008A1768"/>
    <w:rsid w:val="008A489F"/>
    <w:rsid w:val="008F0F33"/>
    <w:rsid w:val="008F4429"/>
    <w:rsid w:val="0094021A"/>
    <w:rsid w:val="009B44AF"/>
    <w:rsid w:val="009C6A0B"/>
    <w:rsid w:val="009E443B"/>
    <w:rsid w:val="009F0C77"/>
    <w:rsid w:val="009F4DD1"/>
    <w:rsid w:val="00A02543"/>
    <w:rsid w:val="00A052FE"/>
    <w:rsid w:val="00A41684"/>
    <w:rsid w:val="00A54049"/>
    <w:rsid w:val="00A600AE"/>
    <w:rsid w:val="00A64E80"/>
    <w:rsid w:val="00A72BCD"/>
    <w:rsid w:val="00A741D9"/>
    <w:rsid w:val="00A833AB"/>
    <w:rsid w:val="00A9741D"/>
    <w:rsid w:val="00AC34A2"/>
    <w:rsid w:val="00AD1C9A"/>
    <w:rsid w:val="00AD4B17"/>
    <w:rsid w:val="00B412D4"/>
    <w:rsid w:val="00B83AE9"/>
    <w:rsid w:val="00BE3C22"/>
    <w:rsid w:val="00BF3493"/>
    <w:rsid w:val="00C0345E"/>
    <w:rsid w:val="00C31C95"/>
    <w:rsid w:val="00C3483A"/>
    <w:rsid w:val="00C66202"/>
    <w:rsid w:val="00C74E9D"/>
    <w:rsid w:val="00C826DD"/>
    <w:rsid w:val="00C82FD3"/>
    <w:rsid w:val="00C92819"/>
    <w:rsid w:val="00CC6B7B"/>
    <w:rsid w:val="00CD2089"/>
    <w:rsid w:val="00D73A67"/>
    <w:rsid w:val="00D746FB"/>
    <w:rsid w:val="00D970A9"/>
    <w:rsid w:val="00DB097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AE5AC9-3663-4AC0-AF63-B89BBED03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3A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A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AE6D8-D3E8-46B4-BEC2-CE4EB56D7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B4E69FA8</Template>
  <TotalTime>0</TotalTime>
  <Pages>4</Pages>
  <Words>757</Words>
  <Characters>3598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4403 Text of Previous Version (Mar. 7, 2018) - South Carolina Legislature Online</dc:title>
  <dc:creator>%USERNAME%</dc:creator>
  <cp:lastModifiedBy>Warren Wilson</cp:lastModifiedBy>
  <cp:revision>2</cp:revision>
  <cp:lastPrinted>2017-11-03T13:24:00Z</cp:lastPrinted>
  <dcterms:created xsi:type="dcterms:W3CDTF">2018-03-07T22:21:00Z</dcterms:created>
  <dcterms:modified xsi:type="dcterms:W3CDTF">2018-03-07T22:21:00Z</dcterms:modified>
</cp:coreProperties>
</file>