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Pr="005C6048" w:rsidRDefault="005C6048" w:rsidP="005C6048">
      <w:pPr>
        <w:tabs>
          <w:tab w:val="right" w:pos="5933"/>
        </w:tabs>
        <w:suppressAutoHyphens/>
      </w:pPr>
      <w:r>
        <w:tab/>
      </w:r>
      <w:r>
        <w:rPr>
          <w:b/>
          <w:sz w:val="36"/>
        </w:rPr>
        <w:t>H. 4683</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E678F2">
      <w:pPr>
        <w:tabs>
          <w:tab w:val="right" w:pos="5933"/>
        </w:tabs>
        <w:suppressAutoHyphens/>
      </w:pPr>
      <w:r>
        <w:t>S. Printed 3/8/18--H.</w:t>
      </w:r>
      <w:r w:rsidR="00E678F2">
        <w:tab/>
        <w:t>[SEC 3/12/18 4:01 PM]</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5C6048" w:rsidRPr="005C6048"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048"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9B5">
        <w:rPr>
          <w:u w:color="000000" w:themeColor="text1"/>
        </w:rPr>
        <w:tab/>
        <w:t>“Section 48</w:t>
      </w:r>
      <w:r w:rsidRPr="004119B5">
        <w:rPr>
          <w:u w:color="000000" w:themeColor="text1"/>
        </w:rPr>
        <w:noBreakHyphen/>
        <w:t>39</w:t>
      </w:r>
      <w:r w:rsidRPr="004119B5">
        <w:rPr>
          <w:u w:color="000000" w:themeColor="text1"/>
        </w:rPr>
        <w:noBreakHyphen/>
        <w:t>280.</w:t>
      </w:r>
      <w:r w:rsidRPr="00E65D49">
        <w:tab/>
        <w:t>(A)</w:t>
      </w:r>
      <w:r w:rsidRPr="00E65D49">
        <w:tab/>
        <w:t>A forty</w:t>
      </w:r>
      <w:r w:rsidRPr="00E65D49">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w:t>
      </w:r>
      <w:r w:rsidRPr="00E65D49">
        <w:rPr>
          <w:strike/>
        </w:rPr>
        <w:t xml:space="preserve"> Subject to Section 48</w:t>
      </w:r>
      <w:r w:rsidRPr="00E65D49">
        <w:rPr>
          <w:strike/>
        </w:rPr>
        <w:noBreakHyphen/>
        <w:t>39</w:t>
      </w:r>
      <w:r w:rsidRPr="00E65D49">
        <w:rPr>
          <w:strike/>
        </w:rPr>
        <w:noBreakHyphen/>
        <w:t>290(D), the baseline established pursuant to this section must not move seaward from its position on December 31, 2017</w:t>
      </w:r>
      <w:r w:rsidRPr="00E65D49">
        <w:t xml:space="preserve"> </w:t>
      </w:r>
      <w:r w:rsidRPr="00E65D49">
        <w:rPr>
          <w:u w:val="single"/>
        </w:rPr>
        <w:t>A baseline must not move seaward from its position in effect on December 31, 2017</w:t>
      </w:r>
      <w:r w:rsidRPr="00E65D49">
        <w:t>.</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(1)</w:t>
      </w:r>
      <w:r w:rsidRPr="00E65D49">
        <w:tab/>
        <w:t xml:space="preserve">The baseline for each standard erosion zone is established at the location of the crest of the primary oceanfront sand dune in </w:t>
      </w:r>
      <w:r w:rsidRPr="00E65D49">
        <w:lastRenderedPageBreak/>
        <w:t xml:space="preserve">that zone. In standard erosion zones in which the shoreline has been altered naturally or artificially by the construction of erosion control devices, </w:t>
      </w:r>
      <w:r w:rsidRPr="00E65D49">
        <w:rPr>
          <w:strike/>
        </w:rPr>
        <w:t>groins, or other manmade alterations,</w:t>
      </w:r>
      <w:r w:rsidRPr="00E65D49">
        <w:t xml:space="preserve"> the baseline must be established by the department using the best scientific and historical data, as where the crest of the primary oceanfront sand </w:t>
      </w:r>
      <w:r w:rsidRPr="00E65D49">
        <w:rPr>
          <w:strike/>
        </w:rPr>
        <w:t>dunes</w:t>
      </w:r>
      <w:r w:rsidRPr="00E65D49">
        <w:t xml:space="preserve"> </w:t>
      </w:r>
      <w:r w:rsidRPr="00E65D49">
        <w:rPr>
          <w:u w:val="single"/>
        </w:rPr>
        <w:t>dune</w:t>
      </w:r>
      <w:r w:rsidRPr="00E65D49">
        <w:t xml:space="preserve"> for that zone would be located if the shoreline had not been altered.</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(2)</w:t>
      </w:r>
      <w:r w:rsidRPr="00E65D49">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r>
      <w:r w:rsidRPr="00E65D49">
        <w:tab/>
        <w:t>(3)</w:t>
      </w:r>
      <w:r w:rsidRPr="00E65D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E65D49">
        <w:rPr>
          <w:strike/>
        </w:rPr>
        <w:t>dunes</w:t>
      </w:r>
      <w:r w:rsidRPr="00E65D49">
        <w:t xml:space="preserve"> </w:t>
      </w:r>
      <w:r w:rsidRPr="00E65D49">
        <w:rPr>
          <w:u w:val="single"/>
        </w:rPr>
        <w:t>dune</w:t>
      </w:r>
      <w:r w:rsidRPr="00E65D49">
        <w:t xml:space="preserve"> of that erosion zone is the baseline of that zone, not the location if the inlet had remained unstabilized.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 xml:space="preserve">Between the establishment cycle of January 1, 2016, and December 31, 2019, the department must use the established baselines and setback lines that were established by January 31, 2012. After December 31, 2023, the department must initiate baselines and setback lines for all geographic areas where baselines and setback </w:t>
      </w:r>
      <w:r w:rsidRPr="004119B5">
        <w:rPr>
          <w:u w:val="single" w:color="000000" w:themeColor="text1"/>
        </w:rPr>
        <w:lastRenderedPageBreak/>
        <w:t>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w:t>
      </w:r>
      <w:r w:rsidR="00801D6D">
        <w:rPr>
          <w:u w:color="000000" w:themeColor="text1"/>
        </w:rPr>
        <w:t>,</w:t>
      </w:r>
      <w:r w:rsidRPr="004119B5">
        <w:rPr>
          <w:u w:color="000000" w:themeColor="text1"/>
        </w:rPr>
        <w:t xml:space="preserve">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publish proposed locations of baselines and setback lines for a geographic area on the department’s website for public input at least one hundred twenty days prior to establishing the baselines and setback lines for the geographic area;</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w:t>
      </w:r>
      <w:r w:rsidRPr="004119B5">
        <w:rPr>
          <w:u w:val="single" w:color="000000" w:themeColor="text1"/>
        </w:rPr>
        <w:lastRenderedPageBreak/>
        <w:t xml:space="preserve">establishing the baselines and setback lines for the geographic area; and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tab/>
      </w:r>
      <w:r w:rsidRPr="00721EAA">
        <w:rPr>
          <w:u w:val="single" w:color="000000" w:themeColor="text1"/>
        </w:rPr>
        <w:t>(E)(1)</w:t>
      </w:r>
      <w:r w:rsidRPr="00721EAA">
        <w:rPr>
          <w:u w:color="000000" w:themeColor="text1"/>
        </w:rPr>
        <w:tab/>
        <w:t xml:space="preserve">In order to locate the </w:t>
      </w:r>
      <w:r w:rsidRPr="00721EAA">
        <w:rPr>
          <w:strike/>
          <w:u w:color="000000" w:themeColor="text1"/>
        </w:rPr>
        <w:t>baseline and the setback line</w:t>
      </w:r>
      <w:r w:rsidRPr="00721EAA">
        <w:rPr>
          <w:u w:color="000000" w:themeColor="text1"/>
        </w:rPr>
        <w:t xml:space="preserve"> </w:t>
      </w:r>
      <w:r w:rsidRPr="00721EAA">
        <w:rPr>
          <w:u w:val="single" w:color="000000" w:themeColor="text1"/>
        </w:rPr>
        <w:t>baselines and the setback lines</w:t>
      </w:r>
      <w:r w:rsidRPr="00721EAA">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721EAA">
        <w:rPr>
          <w:strike/>
          <w:u w:color="000000" w:themeColor="text1"/>
        </w:rPr>
        <w:t>baseline</w:t>
      </w:r>
      <w:r w:rsidRPr="00721EAA">
        <w:rPr>
          <w:u w:color="000000" w:themeColor="text1"/>
        </w:rPr>
        <w:t xml:space="preserve"> </w:t>
      </w:r>
      <w:r w:rsidRPr="00721EAA">
        <w:rPr>
          <w:u w:val="single" w:color="000000" w:themeColor="text1"/>
        </w:rPr>
        <w:t>baselines</w:t>
      </w:r>
      <w:r w:rsidRPr="00721EAA">
        <w:rPr>
          <w:u w:color="000000" w:themeColor="text1"/>
        </w:rPr>
        <w:t xml:space="preserve">.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(2)</w:t>
      </w:r>
      <w:r w:rsidRPr="00721EAA">
        <w:rPr>
          <w:u w:color="000000" w:themeColor="text1"/>
        </w:rPr>
        <w:tab/>
        <w:t>Surveyed topographical data typically must be gathered at two thousand foot intervals. However, in areas subject to significant near</w:t>
      </w:r>
      <w:r w:rsidRPr="00721EAA">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721EAA">
        <w:rPr>
          <w:strike/>
          <w:u w:color="000000" w:themeColor="text1"/>
        </w:rPr>
        <w:t>dunes</w:t>
      </w:r>
      <w:r w:rsidRPr="00721EAA">
        <w:rPr>
          <w:u w:color="000000" w:themeColor="text1"/>
        </w:rPr>
        <w:t xml:space="preserve"> </w:t>
      </w:r>
      <w:r w:rsidRPr="00721EAA">
        <w:rPr>
          <w:u w:val="single" w:color="000000" w:themeColor="text1"/>
        </w:rPr>
        <w:t>dune</w:t>
      </w:r>
      <w:r w:rsidRPr="00721EAA">
        <w:rPr>
          <w:u w:color="000000" w:themeColor="text1"/>
        </w:rPr>
        <w:t xml:space="preserve"> to be used as the baseline for computing the forty</w:t>
      </w:r>
      <w:r w:rsidRPr="00721EAA">
        <w:rPr>
          <w:u w:color="000000" w:themeColor="text1"/>
        </w:rPr>
        <w:noBreakHyphen/>
        <w:t xml:space="preserve">year erosion rate. In cases where no primary oceanfront sand </w:t>
      </w:r>
      <w:r w:rsidRPr="00721EAA">
        <w:rPr>
          <w:strike/>
          <w:u w:color="000000" w:themeColor="text1"/>
        </w:rPr>
        <w:t>dunes exist</w:t>
      </w:r>
      <w:r w:rsidRPr="00721EAA">
        <w:rPr>
          <w:u w:color="000000" w:themeColor="text1"/>
        </w:rPr>
        <w:t xml:space="preserve"> </w:t>
      </w:r>
      <w:r w:rsidRPr="00721EAA">
        <w:rPr>
          <w:u w:val="single" w:color="000000" w:themeColor="text1"/>
        </w:rPr>
        <w:t>dune exists</w:t>
      </w:r>
      <w:r w:rsidRPr="00721EAA">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(3)</w:t>
      </w:r>
      <w:r w:rsidRPr="00721EAA">
        <w:rPr>
          <w:u w:color="000000" w:themeColor="text1"/>
        </w:rPr>
        <w:tab/>
        <w:t>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836A2" w:rsidRPr="004119B5"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(4)</w:t>
      </w:r>
      <w:r w:rsidRPr="00721EAA">
        <w:rPr>
          <w:u w:color="000000" w:themeColor="text1"/>
        </w:rPr>
        <w:tab/>
      </w:r>
      <w:r w:rsidRPr="00721EAA">
        <w:rPr>
          <w:u w:val="single" w:color="000000" w:themeColor="text1"/>
        </w:rPr>
        <w:t>If an oceanfront area incurs extraordinary erosion due to the impact of a storm system or event named by the National Weather Service after June 1, 2018, the surveyed topographical data collected from the impacted oceanfront area since the last establishment cycle may not be used to locate the crests of primary oceanfront sand dunes or to establish baselines pursuant to subsection (A)(1) or (A)(3). The department must use data collected during previous cycles from the oceanfront area to locate the crests of primary oceanfront sand dunes and to establish baselines pursuant to items (A)(1) or (A)(3).</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lastRenderedPageBreak/>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be presented at the conference. The review conference must be held as follows:</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w:t>
      </w:r>
      <w:r w:rsidRPr="004119B5">
        <w:rPr>
          <w:u w:val="single" w:color="000000" w:themeColor="text1"/>
        </w:rPr>
        <w:lastRenderedPageBreak/>
        <w:t>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SECTION</w:t>
      </w:r>
      <w:r w:rsidRPr="00E65D49">
        <w:tab/>
        <w:t xml:space="preserve"> 5.</w:t>
      </w:r>
      <w:r w:rsidRPr="00E65D49">
        <w:tab/>
        <w:t xml:space="preserve">Notwithstanding the provisions of Section 48-39-280, the baseline or setback line in effect for a landowner is: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(1)</w:t>
      </w:r>
      <w:r w:rsidRPr="00E65D49">
        <w:tab/>
        <w:t xml:space="preserve">the baseline or setback line established during the 2009 through 2012 establishment cycle until the Department of Health and Environmental Control establishes a new baseline and setback line if the baseline established during the 2009 through 2012 establishment cycle is seaward of or at the same location as the baseline proposed by the department on October 6, 2017.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(2)</w:t>
      </w:r>
      <w:r w:rsidRPr="00E65D49">
        <w:tab/>
        <w:t xml:space="preserve">the baseline or setback line proposed by the department on October 6, 2017, until the department establishes a new baseline and setback line if the baseline established during the 2009 through 2012 </w:t>
      </w:r>
      <w:r w:rsidRPr="00E65D49">
        <w:lastRenderedPageBreak/>
        <w:t xml:space="preserve">establishment cycle is landward of the baseline proposed by the department on October 6, 2017.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t>(3)</w:t>
      </w:r>
      <w:r w:rsidRPr="00E65D49">
        <w:tab/>
      </w:r>
      <w:r w:rsidRPr="00E65D49">
        <w:rPr>
          <w:u w:color="000000" w:themeColor="text1"/>
        </w:rPr>
        <w:t>If a proposed baseline under review or appeal prior to January 1, 2018, is revised by a consent order, court order, or otherwise by the department to a location seaward of both the baseline established during the 2009 through 2012 establishment cycle and the baseline proposed on October 6, 2017, then both the revised proposed baseline as well as the revised proposed setback line will be in effect for the landowner until the department establishes a new baseline and setback line.</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9B5">
        <w:rPr>
          <w:u w:color="000000" w:themeColor="text1"/>
        </w:rPr>
        <w:t>SECTION</w:t>
      </w:r>
      <w:r w:rsidRPr="004119B5">
        <w:rPr>
          <w:u w:color="000000" w:themeColor="text1"/>
        </w:rPr>
        <w:tab/>
        <w:t>7.</w:t>
      </w:r>
      <w:r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00D" w:rsidRDefault="00B4600D" w:rsidP="00B4600D">
      <w:pPr>
        <w:suppressAutoHyphens/>
      </w:pPr>
    </w:p>
    <w:sectPr w:rsidR="00B4600D"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798820-1E51-40D8-8345-179B073A02A6}"/>
    <w:embedBold r:id="rId2" w:fontKey="{9DCF52A6-3ABB-4E66-88A9-DB8F997167A9}"/>
    <w:embedItalic r:id="rId3" w:fontKey="{F08117D3-99AD-4FE5-8539-1993D4EF4D69}"/>
  </w:font>
  <w:font w:name="Calibri">
    <w:panose1 w:val="020F0502020204030204"/>
    <w:charset w:val="00"/>
    <w:family w:val="swiss"/>
    <w:pitch w:val="variable"/>
    <w:sig w:usb0="E00002FF" w:usb1="4000ACFF" w:usb2="00000001" w:usb3="00000000" w:csb0="0000019F" w:csb1="00000000"/>
    <w:embedRegular r:id="rId4" w:fontKey="{863CC2AA-84AA-4D99-BEB2-E00087C23135}"/>
  </w:font>
  <w:font w:name="Cambria">
    <w:panose1 w:val="02040503050406030204"/>
    <w:charset w:val="00"/>
    <w:family w:val="roman"/>
    <w:pitch w:val="variable"/>
    <w:sig w:usb0="E00002FF" w:usb1="400004FF" w:usb2="00000000" w:usb3="00000000" w:csb0="0000019F" w:csb1="00000000"/>
    <w:embedRegular r:id="rId5" w:fontKey="{1C3FF966-F923-4142-A894-CF6160D3B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0548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B460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5485C"/>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C6048"/>
    <w:rsid w:val="005D7769"/>
    <w:rsid w:val="005E2BC9"/>
    <w:rsid w:val="00605102"/>
    <w:rsid w:val="00606648"/>
    <w:rsid w:val="006215AA"/>
    <w:rsid w:val="006836A2"/>
    <w:rsid w:val="006913C9"/>
    <w:rsid w:val="0069470D"/>
    <w:rsid w:val="006D58AA"/>
    <w:rsid w:val="00734F00"/>
    <w:rsid w:val="0076371C"/>
    <w:rsid w:val="007A70AE"/>
    <w:rsid w:val="00801D6D"/>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4600D"/>
    <w:rsid w:val="00BE3C22"/>
    <w:rsid w:val="00C0345E"/>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678F2"/>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E784C-3C7A-4B31-A400-58EF2055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EBCE72D4.dotm</Template>
  <TotalTime>0</TotalTime>
  <Pages>11</Pages>
  <Words>3654</Words>
  <Characters>19335</Characters>
  <Application>Microsoft Office Word</Application>
  <DocSecurity>0</DocSecurity>
  <Lines>429</Lines>
  <Paragraphs>84</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23064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(Mar. 12, 2018) - South Carolina Legislature Online</dc:title>
  <dc:creator>%USERNAME%</dc:creator>
  <cp:lastModifiedBy>Lavarres Lynch</cp:lastModifiedBy>
  <cp:revision>2</cp:revision>
  <cp:lastPrinted>2018-01-23T14:37:00Z</cp:lastPrinted>
  <dcterms:created xsi:type="dcterms:W3CDTF">2018-03-12T20:02:00Z</dcterms:created>
  <dcterms:modified xsi:type="dcterms:W3CDTF">2018-03-12T20:02:00Z</dcterms:modified>
</cp:coreProperties>
</file>