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3A6836" w:rsidRPr="006A59E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9E6" w:rsidRPr="003A6836" w:rsidRDefault="003A6836" w:rsidP="003A6836">
      <w:pPr>
        <w:tabs>
          <w:tab w:val="right" w:pos="5933"/>
        </w:tabs>
        <w:suppressAutoHyphens/>
      </w:pPr>
      <w:r>
        <w:tab/>
      </w:r>
      <w:r>
        <w:rPr>
          <w:b/>
          <w:sz w:val="36"/>
        </w:rPr>
        <w:t>H. 4727</w:t>
      </w: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Lowe, Elliott and S. Rivers</w:t>
      </w: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3A6836" w:rsidRPr="003A6836" w:rsidRDefault="003A6836" w:rsidP="003A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3A683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6836"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bookmarkEnd w:id="1"/>
    </w:p>
    <w:p w:rsidR="0010776B" w:rsidRDefault="00F21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215D5" w:rsidRDefault="00F21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SECTION</w:t>
      </w:r>
      <w:r>
        <w:rPr>
          <w:color w:val="000000" w:themeColor="text1"/>
          <w:u w:color="000000" w:themeColor="text1"/>
        </w:rPr>
        <w:tab/>
        <w:t>1.</w:t>
      </w:r>
      <w:r w:rsidR="00356A47">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of the 1976 Code, as last amended by Act 279 of 2012, is further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45" w:rsidRPr="00CC6CBF" w:rsidRDefault="0087234C"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40.</w:t>
      </w:r>
      <w:r>
        <w:rPr>
          <w:color w:val="000000" w:themeColor="text1"/>
          <w:u w:color="000000" w:themeColor="text1"/>
        </w:rPr>
        <w:tab/>
      </w:r>
      <w:r w:rsidR="00C02945" w:rsidRPr="00CC6CBF">
        <w:rPr>
          <w:u w:color="000000" w:themeColor="text1"/>
        </w:rPr>
        <w:tab/>
        <w:t>“(A)</w:t>
      </w:r>
      <w:r w:rsidR="00C02945" w:rsidRPr="00CC6CBF">
        <w:rPr>
          <w:u w:color="000000" w:themeColor="text1"/>
        </w:rPr>
        <w:tab/>
        <w:t xml:space="preserve">There is established the South Carolina Conservation Bank. The bank is governed by a </w:t>
      </w:r>
      <w:r w:rsidR="00C02945" w:rsidRPr="00CC6CBF">
        <w:rPr>
          <w:strike/>
          <w:u w:color="000000" w:themeColor="text1"/>
        </w:rPr>
        <w:t>fourteen</w:t>
      </w:r>
      <w:r w:rsidR="00C02945" w:rsidRPr="00CC6CBF">
        <w:rPr>
          <w:strike/>
          <w:u w:color="000000" w:themeColor="text1"/>
        </w:rPr>
        <w:noBreakHyphen/>
        <w:t>member</w:t>
      </w:r>
      <w:r w:rsidR="00C02945" w:rsidRPr="00CC6CBF">
        <w:rPr>
          <w:u w:color="000000" w:themeColor="text1"/>
        </w:rPr>
        <w:t xml:space="preserve"> </w:t>
      </w:r>
      <w:r w:rsidR="00C02945" w:rsidRPr="00CC6CBF">
        <w:rPr>
          <w:u w:val="single" w:color="000000" w:themeColor="text1"/>
        </w:rPr>
        <w:t>fifteen</w:t>
      </w:r>
      <w:r w:rsidR="00C02945" w:rsidRPr="00CC6CBF">
        <w:rPr>
          <w:u w:val="single" w:color="000000" w:themeColor="text1"/>
        </w:rPr>
        <w:noBreakHyphen/>
        <w:t>member</w:t>
      </w:r>
      <w:r w:rsidR="00C02945" w:rsidRPr="00CC6CBF">
        <w:rPr>
          <w:u w:color="000000" w:themeColor="text1"/>
        </w:rPr>
        <w:t xml:space="preserve"> board selected as follows: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(1)</w:t>
      </w:r>
      <w:r w:rsidRPr="00CC6CBF">
        <w:rPr>
          <w:u w:color="000000" w:themeColor="text1"/>
        </w:rPr>
        <w:tab/>
        <w:t xml:space="preserve">the </w:t>
      </w:r>
      <w:r w:rsidRPr="00CC6CBF">
        <w:rPr>
          <w:strike/>
          <w:u w:color="000000" w:themeColor="text1"/>
        </w:rPr>
        <w:t>Chairman of the Board for</w:t>
      </w:r>
      <w:r w:rsidRPr="00CC6CBF">
        <w:rPr>
          <w:u w:color="000000" w:themeColor="text1"/>
        </w:rPr>
        <w:t xml:space="preserve"> </w:t>
      </w:r>
      <w:r w:rsidRPr="00CC6CBF">
        <w:rPr>
          <w:u w:val="single" w:color="000000" w:themeColor="text1"/>
        </w:rPr>
        <w:t>Director of</w:t>
      </w:r>
      <w:r w:rsidRPr="00CC6CBF">
        <w:rPr>
          <w:u w:color="000000" w:themeColor="text1"/>
        </w:rPr>
        <w:t xml:space="preserve"> the Department of Natural Resources, the </w:t>
      </w:r>
      <w:r w:rsidRPr="00CC6CBF">
        <w:rPr>
          <w:strike/>
          <w:u w:color="000000" w:themeColor="text1"/>
        </w:rPr>
        <w:t>Chairman</w:t>
      </w:r>
      <w:r w:rsidRPr="00CC6CBF">
        <w:rPr>
          <w:u w:color="000000" w:themeColor="text1"/>
        </w:rPr>
        <w:t xml:space="preserve"> </w:t>
      </w:r>
      <w:r w:rsidRPr="00CC6CBF">
        <w:rPr>
          <w:u w:val="single" w:color="000000" w:themeColor="text1"/>
        </w:rPr>
        <w:t>Director</w:t>
      </w:r>
      <w:r w:rsidRPr="00CC6CBF">
        <w:rPr>
          <w:u w:color="000000" w:themeColor="text1"/>
        </w:rPr>
        <w:t xml:space="preserve"> of the South Carolina Forestry Commission, </w:t>
      </w:r>
      <w:r w:rsidRPr="00CC6CBF">
        <w:rPr>
          <w:strike/>
          <w:u w:color="000000" w:themeColor="text1"/>
        </w:rPr>
        <w:t>and</w:t>
      </w:r>
      <w:r w:rsidRPr="00CC6CBF">
        <w:rPr>
          <w:u w:color="000000" w:themeColor="text1"/>
        </w:rPr>
        <w:t xml:space="preserve"> the Director of the South Carolina Department of Parks, Recreation and Tourism, </w:t>
      </w:r>
      <w:r w:rsidRPr="00CC6CBF">
        <w:rPr>
          <w:strike/>
          <w:u w:color="000000" w:themeColor="text1"/>
        </w:rPr>
        <w:t>all of whom shall serve ex officio and without voting privileges</w:t>
      </w:r>
      <w:r w:rsidRPr="00CC6CBF">
        <w:rPr>
          <w:u w:color="000000" w:themeColor="text1"/>
        </w:rPr>
        <w:t xml:space="preserve"> </w:t>
      </w:r>
      <w:r w:rsidRPr="00CC6CBF">
        <w:rPr>
          <w:u w:val="single" w:color="000000" w:themeColor="text1"/>
        </w:rPr>
        <w:t>the Commissioner of Agriculture, and the Secretary of Commerce, or their designee</w:t>
      </w:r>
      <w:r w:rsidRPr="00CC6CBF">
        <w:rPr>
          <w:u w:color="000000" w:themeColor="text1"/>
        </w:rPr>
        <w:t xml:space="preserve">;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(2)</w:t>
      </w:r>
      <w:r w:rsidRPr="00CC6CBF">
        <w:rPr>
          <w:u w:color="000000" w:themeColor="text1"/>
        </w:rPr>
        <w:tab/>
      </w:r>
      <w:r w:rsidRPr="00CC6CBF">
        <w:rPr>
          <w:strike/>
          <w:u w:color="000000" w:themeColor="text1"/>
        </w:rPr>
        <w:t>three</w:t>
      </w:r>
      <w:r w:rsidRPr="00CC6CBF">
        <w:rPr>
          <w:u w:color="000000" w:themeColor="text1"/>
        </w:rPr>
        <w:t xml:space="preserve"> </w:t>
      </w:r>
      <w:r w:rsidRPr="00CC6CBF">
        <w:rPr>
          <w:u w:val="single" w:color="000000" w:themeColor="text1"/>
        </w:rPr>
        <w:t>two</w:t>
      </w:r>
      <w:r w:rsidRPr="00CC6CBF">
        <w:rPr>
          <w:u w:color="000000" w:themeColor="text1"/>
        </w:rPr>
        <w:t xml:space="preserve"> members appointed by the Governor from the State at large;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(3)</w:t>
      </w:r>
      <w:r w:rsidRPr="00CC6CBF">
        <w:rPr>
          <w:u w:color="000000" w:themeColor="text1"/>
        </w:rPr>
        <w:tab/>
        <w:t xml:space="preserve">four members appointed by the Speaker of the House of Representatives, one each from the Third, </w:t>
      </w:r>
      <w:r w:rsidRPr="00CC6CBF">
        <w:rPr>
          <w:strike/>
          <w:u w:color="000000" w:themeColor="text1"/>
        </w:rPr>
        <w:t>Fourth, and Sixth</w:t>
      </w:r>
      <w:r w:rsidRPr="00CC6CBF">
        <w:rPr>
          <w:u w:color="000000" w:themeColor="text1"/>
        </w:rPr>
        <w:t xml:space="preserve"> </w:t>
      </w:r>
      <w:r w:rsidRPr="00CC6CBF">
        <w:rPr>
          <w:u w:val="single" w:color="000000" w:themeColor="text1"/>
        </w:rPr>
        <w:t>First, Fifth, and Seventh</w:t>
      </w:r>
      <w:r w:rsidRPr="00CC6CBF">
        <w:rPr>
          <w:u w:color="000000" w:themeColor="text1"/>
        </w:rPr>
        <w:t xml:space="preserve"> Congressional Districts </w:t>
      </w:r>
      <w:r w:rsidRPr="00CC6CBF">
        <w:rPr>
          <w:strike/>
          <w:u w:color="000000" w:themeColor="text1"/>
        </w:rPr>
        <w:t>and one member from the State at large</w:t>
      </w:r>
      <w:r w:rsidRPr="00CC6CBF">
        <w:rPr>
          <w:u w:color="000000" w:themeColor="text1"/>
        </w:rPr>
        <w:t xml:space="preserve">; and </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r>
      <w:r w:rsidRPr="00CC6CBF">
        <w:rPr>
          <w:u w:color="000000" w:themeColor="text1"/>
        </w:rPr>
        <w:tab/>
        <w:t>(4)</w:t>
      </w:r>
      <w:r w:rsidRPr="00CC6CBF">
        <w:rPr>
          <w:u w:color="000000" w:themeColor="text1"/>
        </w:rPr>
        <w:tab/>
        <w:t xml:space="preserve">four members appointed by the President Pro Tempore of the Senate, one each from the </w:t>
      </w:r>
      <w:r w:rsidRPr="00CC6CBF">
        <w:rPr>
          <w:strike/>
          <w:u w:color="000000" w:themeColor="text1"/>
        </w:rPr>
        <w:t>First,</w:t>
      </w:r>
      <w:r w:rsidRPr="00CC6CBF">
        <w:rPr>
          <w:u w:color="000000" w:themeColor="text1"/>
        </w:rPr>
        <w:t xml:space="preserve"> Second, </w:t>
      </w:r>
      <w:r w:rsidRPr="00CC6CBF">
        <w:rPr>
          <w:strike/>
          <w:u w:color="000000" w:themeColor="text1"/>
        </w:rPr>
        <w:t>Fifth, and Seventh</w:t>
      </w:r>
      <w:r w:rsidRPr="00CC6CBF">
        <w:rPr>
          <w:u w:color="000000" w:themeColor="text1"/>
        </w:rPr>
        <w:t xml:space="preserve"> </w:t>
      </w:r>
      <w:r w:rsidRPr="00CC6CBF">
        <w:rPr>
          <w:u w:val="single" w:color="000000" w:themeColor="text1"/>
        </w:rPr>
        <w:t>Fourth, and Sixth</w:t>
      </w:r>
      <w:r w:rsidRPr="00CC6CBF">
        <w:rPr>
          <w:u w:color="000000" w:themeColor="text1"/>
        </w:rPr>
        <w:t xml:space="preserve"> Congressional Districts </w:t>
      </w:r>
      <w:r w:rsidRPr="00CC6CBF">
        <w:rPr>
          <w:u w:val="single" w:color="000000" w:themeColor="text1"/>
        </w:rPr>
        <w:t>and one member from the State at large</w:t>
      </w:r>
      <w:r w:rsidRPr="00CC6CBF">
        <w:rPr>
          <w:u w:color="000000" w:themeColor="text1"/>
        </w:rPr>
        <w:t>.</w:t>
      </w:r>
    </w:p>
    <w:p w:rsidR="0087234C" w:rsidRPr="00A93C71"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t>(B)</w:t>
      </w:r>
      <w:r w:rsidRPr="00CC6CBF">
        <w:rPr>
          <w:u w:color="000000" w:themeColor="text1"/>
        </w:rPr>
        <w:tab/>
        <w:t xml:space="preserve">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 </w:t>
      </w:r>
      <w:r w:rsidRPr="00CC6CBF">
        <w:rPr>
          <w:u w:val="single" w:color="000000" w:themeColor="text1"/>
        </w:rPr>
        <w:t>The members from the Department of Natural Resources, the Forestry Commission, the Department of Parks, Recreation and Tourism, the Department of Agriculture, and the Department of Commerce may not serve as chairman.</w:t>
      </w:r>
      <w:r w:rsidRPr="00CC6CBF">
        <w:rPr>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on land owned or controlled by the board member, the board member</w:t>
      </w:r>
      <w:r w:rsidR="003930ED" w:rsidRPr="003930ED">
        <w:rPr>
          <w:color w:val="000000" w:themeColor="text1"/>
          <w:u w:color="000000" w:themeColor="text1"/>
        </w:rPr>
        <w:t>’</w:t>
      </w:r>
      <w:r w:rsidRPr="00A93C71">
        <w:rPr>
          <w:color w:val="000000" w:themeColor="text1"/>
          <w:u w:color="000000" w:themeColor="text1"/>
        </w:rPr>
        <w:t xml:space="preserve">s immediate family, or an entity the board member </w:t>
      </w:r>
      <w:r w:rsidRPr="00A93C71">
        <w:rPr>
          <w:color w:val="000000" w:themeColor="text1"/>
          <w:u w:color="000000" w:themeColor="text1"/>
        </w:rPr>
        <w:lastRenderedPageBreak/>
        <w:t>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on land contiguous to land described in item (1) of this subsection;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by an eligible trust fund recipient that the board member represents, works for, or in which the member has a voting or ownership interest.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provisions of this subsection are cumulative to and not in lieu of provisions of law or applicable rule relating to the ethics of public officers.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The board shall meet at least twice annually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356A47"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r w:rsidR="00356A47">
        <w:rPr>
          <w:color w:val="000000" w:themeColor="text1"/>
          <w:u w:color="000000" w:themeColor="text1"/>
        </w:rPr>
        <w:t>”</w:t>
      </w:r>
    </w:p>
    <w:p w:rsidR="00356A47" w:rsidRDefault="00356A47"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3C71">
        <w:rPr>
          <w:color w:val="000000" w:themeColor="text1"/>
          <w:u w:color="000000" w:themeColor="text1"/>
        </w:rPr>
        <w:t>2.</w:t>
      </w:r>
      <w:r w:rsidRPr="00A93C71">
        <w:rPr>
          <w:color w:val="000000" w:themeColor="text1"/>
          <w:u w:color="000000" w:themeColor="text1"/>
        </w:rPr>
        <w:tab/>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50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w:t>
      </w:r>
      <w:r>
        <w:rPr>
          <w:color w:val="000000" w:themeColor="text1"/>
          <w:u w:color="000000" w:themeColor="text1"/>
        </w:rPr>
        <w:tab/>
      </w:r>
      <w:r w:rsidRPr="00A93C71">
        <w:rPr>
          <w:color w:val="000000" w:themeColor="text1"/>
          <w:u w:color="000000" w:themeColor="text1"/>
        </w:rPr>
        <w:t>(A)</w:t>
      </w:r>
      <w:r w:rsidRPr="00A93C71">
        <w:rPr>
          <w:color w:val="000000" w:themeColor="text1"/>
          <w:u w:color="000000" w:themeColor="text1"/>
        </w:rPr>
        <w:tab/>
        <w:t>The bank is established and authorized to:</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A93C71">
        <w:rPr>
          <w:strike/>
          <w:color w:val="000000" w:themeColor="text1"/>
          <w:u w:color="000000" w:themeColor="text1"/>
        </w:rPr>
        <w:t>48</w:t>
      </w:r>
      <w:r w:rsidR="003930ED">
        <w:rPr>
          <w:strike/>
          <w:color w:val="000000" w:themeColor="text1"/>
          <w:u w:color="000000" w:themeColor="text1"/>
        </w:rPr>
        <w:noBreakHyphen/>
      </w:r>
      <w:r w:rsidRPr="00A93C71">
        <w:rPr>
          <w:strike/>
          <w:color w:val="000000" w:themeColor="text1"/>
          <w:u w:color="000000" w:themeColor="text1"/>
        </w:rPr>
        <w:t>59</w:t>
      </w:r>
      <w:r w:rsidR="003930ED">
        <w:rPr>
          <w:strike/>
          <w:color w:val="000000" w:themeColor="text1"/>
          <w:u w:color="000000" w:themeColor="text1"/>
        </w:rPr>
        <w:noBreakHyphen/>
      </w:r>
      <w:r w:rsidRPr="00A93C71">
        <w:rPr>
          <w:strike/>
          <w:color w:val="000000" w:themeColor="text1"/>
          <w:u w:color="000000" w:themeColor="text1"/>
        </w:rPr>
        <w:t>60</w:t>
      </w:r>
      <w:r w:rsidRPr="00A93C71">
        <w:rPr>
          <w:color w:val="000000" w:themeColor="text1"/>
          <w:u w:color="000000" w:themeColor="text1"/>
        </w:rPr>
        <w:t xml:space="preserve"> </w:t>
      </w:r>
      <w:r w:rsidRPr="00A93C71">
        <w:rPr>
          <w:color w:val="000000" w:themeColor="text1"/>
          <w:u w:val="single" w:color="000000" w:themeColor="text1"/>
        </w:rPr>
        <w:t>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apply for and receive additional funding for the trust fund from federal, private, and other sources, to be used as provided in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receive charitable contributions and donations to the trust fund, to be used as provided in this chapter;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 xml:space="preserve">receive contributions to the trust fund in satisfaction of any public or private obligation for environmental mitigation or habitat conservation, whether such obligation arises out of law, </w:t>
      </w:r>
      <w:r w:rsidRPr="00A93C71">
        <w:rPr>
          <w:color w:val="000000" w:themeColor="text1"/>
          <w:u w:color="000000" w:themeColor="text1"/>
        </w:rPr>
        <w:lastRenderedPageBreak/>
        <w:t>equity, contract, regulation, administrative proceeding, or judicial proceeding. Such contributions must be used as provided for in this chapter.</w:t>
      </w:r>
    </w:p>
    <w:p w:rsidR="00C830C6"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sidR="003930ED">
        <w:rPr>
          <w:color w:val="000000" w:themeColor="text1"/>
          <w:u w:color="000000" w:themeColor="text1"/>
        </w:rPr>
        <w:noBreakHyphen/>
      </w:r>
      <w:r w:rsidRPr="00A93C71">
        <w:rPr>
          <w:color w:val="000000" w:themeColor="text1"/>
          <w:u w:color="000000" w:themeColor="text1"/>
        </w:rPr>
        <w:t>bearing instruments or accounts, with the interest accruing and credited to the fund</w:t>
      </w:r>
      <w:r w:rsidR="00C830C6" w:rsidRPr="00C830C6">
        <w:rPr>
          <w:color w:val="000000" w:themeColor="text1"/>
          <w:u w:val="single" w:color="000000" w:themeColor="text1"/>
        </w:rPr>
        <w:t>;</w:t>
      </w:r>
    </w:p>
    <w:p w:rsidR="0087234C" w:rsidRPr="00A93C71" w:rsidRDefault="00C830C6"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30C6">
        <w:rPr>
          <w:color w:val="000000" w:themeColor="text1"/>
          <w:u w:val="single" w:color="000000" w:themeColor="text1"/>
        </w:rPr>
        <w:t>(7)</w:t>
      </w:r>
      <w:r w:rsidRPr="00C830C6">
        <w:rPr>
          <w:color w:val="000000" w:themeColor="text1"/>
          <w:u w:color="000000" w:themeColor="text1"/>
        </w:rPr>
        <w:tab/>
      </w:r>
      <w:r w:rsidRPr="00C830C6">
        <w:rPr>
          <w:color w:val="000000" w:themeColor="text1"/>
          <w:u w:val="single" w:color="000000" w:themeColor="text1"/>
        </w:rPr>
        <w:t>coordinate all State required mitigation</w:t>
      </w:r>
      <w:r w:rsidR="0087234C"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To carry out its functions, the bank shall:</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operate a program in order to implement the purposes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develop additional guidelines and prescribe procedures, consistent with the criteria and purposes of this chapter, as necessary to implement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submit an annual report to the Governor, Lieutenant Governor, and General Assembly that: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(a)</w:t>
      </w:r>
      <w:r w:rsidRPr="00A93C71">
        <w:rPr>
          <w:color w:val="000000" w:themeColor="text1"/>
          <w:u w:color="000000" w:themeColor="text1"/>
        </w:rPr>
        <w:tab/>
        <w:t>accounts for trust fund receipts and dispersals;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(b)</w:t>
      </w:r>
      <w:r w:rsidRPr="00A93C71">
        <w:rPr>
          <w:color w:val="000000" w:themeColor="text1"/>
          <w:u w:color="000000" w:themeColor="text1"/>
        </w:rPr>
        <w:tab/>
        <w:t>briefly describes applications submitted to the bank, and in greater detail describes grants and loans that were approved or funded during the current year, and the public benefits, including public access, resulting from such grants and loans;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(c)</w:t>
      </w:r>
      <w:r w:rsidRPr="00A93C71">
        <w:rPr>
          <w:color w:val="000000" w:themeColor="text1"/>
          <w:u w:color="000000" w:themeColor="text1"/>
        </w:rPr>
        <w:tab/>
        <w:t>describes recipients of trust fund grants and loans; and</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t>(d)</w:t>
      </w:r>
      <w:r w:rsidRPr="00A93C71">
        <w:rPr>
          <w:color w:val="000000" w:themeColor="text1"/>
          <w:u w:color="000000" w:themeColor="text1"/>
        </w:rPr>
        <w:tab/>
        <w:t>sets forth a list and description of all grants and loans approved, and all acquisitions of land or interests in land obtained with trust funds since the bank</w:t>
      </w:r>
      <w:r w:rsidR="003930ED" w:rsidRPr="003930ED">
        <w:rPr>
          <w:color w:val="000000" w:themeColor="text1"/>
          <w:u w:color="000000" w:themeColor="text1"/>
        </w:rPr>
        <w:t>’</w:t>
      </w:r>
      <w:r w:rsidRPr="00A93C71">
        <w:rPr>
          <w:color w:val="000000" w:themeColor="text1"/>
          <w:u w:color="000000" w:themeColor="text1"/>
        </w:rPr>
        <w:t>s inception. The report shall include a map setting forth the location and size of all such protected lands</w:t>
      </w:r>
      <w:r w:rsidRPr="003B3128">
        <w:rPr>
          <w:strike/>
          <w:color w:val="000000" w:themeColor="text1"/>
          <w:u w:color="000000" w:themeColor="text1"/>
        </w:rPr>
        <w:t>.</w:t>
      </w:r>
      <w:r w:rsidR="003B3128" w:rsidRPr="003B3128">
        <w:rPr>
          <w:color w:val="000000" w:themeColor="text1"/>
          <w:u w:val="single" w:color="000000" w:themeColor="text1"/>
        </w:rPr>
        <w:t>;</w:t>
      </w:r>
    </w:p>
    <w:p w:rsidR="0087234C" w:rsidRPr="003B3128"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003B3128" w:rsidRPr="00C830C6">
        <w:rPr>
          <w:color w:val="000000" w:themeColor="text1"/>
          <w:u w:val="single" w:color="000000" w:themeColor="text1"/>
        </w:rPr>
        <w:t>;</w:t>
      </w:r>
      <w:r w:rsidR="00C830C6">
        <w:rPr>
          <w:color w:val="000000" w:themeColor="text1"/>
          <w:u w:val="single" w:color="000000" w:themeColor="text1"/>
        </w:rPr>
        <w:t xml:space="preserv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(5)</w:t>
      </w:r>
      <w:r w:rsidRPr="00A93C71">
        <w:rPr>
          <w:color w:val="000000" w:themeColor="text1"/>
          <w:u w:color="000000" w:themeColor="text1"/>
        </w:rPr>
        <w:tab/>
      </w:r>
      <w:r w:rsidRPr="00A93C71">
        <w:rPr>
          <w:color w:val="000000" w:themeColor="text1"/>
          <w:u w:val="single" w:color="000000" w:themeColor="text1"/>
        </w:rPr>
        <w:t>develop conservation criteria to be used in addition to the criteria</w:t>
      </w:r>
      <w:r w:rsidR="008E39BD">
        <w:rPr>
          <w:color w:val="000000" w:themeColor="text1"/>
          <w:u w:val="single" w:color="000000" w:themeColor="text1"/>
        </w:rPr>
        <w:t xml:space="preserve"> set forth</w:t>
      </w:r>
      <w:r w:rsidRPr="00A93C71">
        <w:rPr>
          <w:color w:val="000000" w:themeColor="text1"/>
          <w:u w:val="single" w:color="000000" w:themeColor="text1"/>
        </w:rPr>
        <w:t xml:space="preserve"> in Section 48</w:t>
      </w:r>
      <w:r w:rsidR="003930ED">
        <w:rPr>
          <w:color w:val="000000" w:themeColor="text1"/>
          <w:u w:val="single" w:color="000000" w:themeColor="text1"/>
        </w:rPr>
        <w:noBreakHyphen/>
      </w:r>
      <w:r w:rsidRPr="00A93C71">
        <w:rPr>
          <w:color w:val="000000" w:themeColor="text1"/>
          <w:u w:val="single" w:color="000000" w:themeColor="text1"/>
        </w:rPr>
        <w:t>59</w:t>
      </w:r>
      <w:r w:rsidR="003930ED">
        <w:rPr>
          <w:color w:val="000000" w:themeColor="text1"/>
          <w:u w:val="single" w:color="000000" w:themeColor="text1"/>
        </w:rPr>
        <w:noBreakHyphen/>
      </w:r>
      <w:r w:rsidRPr="00A93C71">
        <w:rPr>
          <w:color w:val="000000" w:themeColor="text1"/>
          <w:u w:val="single" w:color="000000" w:themeColor="text1"/>
        </w:rPr>
        <w:t>70(D) and a conservation prioritization map. The map must be created by July 1, 2018</w:t>
      </w:r>
      <w:r w:rsidR="004E4E2A">
        <w:rPr>
          <w:color w:val="000000" w:themeColor="text1"/>
          <w:u w:val="single" w:color="000000" w:themeColor="text1"/>
        </w:rPr>
        <w:t>,</w:t>
      </w:r>
      <w:r w:rsidRPr="00A93C71">
        <w:rPr>
          <w:color w:val="000000" w:themeColor="text1"/>
          <w:u w:val="single" w:color="000000" w:themeColor="text1"/>
        </w:rPr>
        <w:t xml:space="preserve"> and the criteria and map must be reviewed no less than every ten years thereafter. The criteria list and map must be submitted to the General Assembly</w:t>
      </w:r>
      <w:r w:rsidR="00A81E57">
        <w:rPr>
          <w:color w:val="000000" w:themeColor="text1"/>
          <w:u w:val="single" w:color="000000" w:themeColor="text1"/>
        </w:rPr>
        <w:t xml:space="preserve"> annually</w:t>
      </w:r>
      <w:r w:rsidRPr="00C830C6">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 xml:space="preserve">To operate the bank and carry out the purposes of this chapter the board shall hire an executive director, and may hire staff, contract for services, and enter into cooperative agreements with </w:t>
      </w:r>
      <w:r w:rsidRPr="00A93C71">
        <w:rPr>
          <w:color w:val="000000" w:themeColor="text1"/>
          <w:u w:color="000000" w:themeColor="text1"/>
        </w:rPr>
        <w:lastRenderedPageBreak/>
        <w:t>other state agencies. 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Operating expenses of the bank must be paid out of the trust fund.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val="single" w:color="000000" w:themeColor="text1"/>
        </w:rPr>
        <w:t>(E)</w:t>
      </w:r>
      <w:r w:rsidRPr="00A93C71">
        <w:rPr>
          <w:color w:val="000000" w:themeColor="text1"/>
          <w:u w:color="000000" w:themeColor="text1"/>
        </w:rPr>
        <w:tab/>
      </w:r>
      <w:r w:rsidRPr="00A93C71">
        <w:rPr>
          <w:color w:val="000000" w:themeColor="text1"/>
          <w:u w:val="single" w:color="000000" w:themeColor="text1"/>
        </w:rPr>
        <w:t xml:space="preserve">The bank may not award a grant or make a loan unless the funds for the grant or loan are in the trust fund at the time of the </w:t>
      </w:r>
      <w:r w:rsidR="008E39BD">
        <w:rPr>
          <w:color w:val="000000" w:themeColor="text1"/>
          <w:u w:val="single" w:color="000000" w:themeColor="text1"/>
        </w:rPr>
        <w:t>award</w:t>
      </w:r>
      <w:r w:rsidRPr="00A93C71">
        <w:rPr>
          <w:color w:val="000000" w:themeColor="text1"/>
          <w:u w:val="single" w:color="000000" w:themeColor="text1"/>
        </w:rPr>
        <w:t>.</w:t>
      </w:r>
      <w:r w:rsidRPr="00A93C71">
        <w:rPr>
          <w:color w:val="000000" w:themeColor="text1"/>
          <w:u w:color="000000" w:themeColor="text1"/>
        </w:rPr>
        <w:t>”</w:t>
      </w:r>
      <w:r w:rsidRPr="00A93C71">
        <w:rPr>
          <w:color w:val="000000" w:themeColor="text1"/>
          <w:u w:val="single"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3.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70 of the 1976 Code is amended to read: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(A)</w:t>
      </w:r>
      <w:r w:rsidRPr="00A93C71">
        <w:rPr>
          <w:color w:val="000000" w:themeColor="text1"/>
          <w:u w:color="000000" w:themeColor="text1"/>
        </w:rPr>
        <w:tab/>
        <w:t>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hearing on an application before awarding a grant or loan pursuant to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(B)</w:t>
      </w:r>
      <w:r w:rsidRPr="00A93C71">
        <w:rPr>
          <w:color w:val="000000" w:themeColor="text1"/>
          <w:u w:color="000000" w:themeColor="text1"/>
        </w:rPr>
        <w:tab/>
        <w:t>Before applying for trust funds for the purchase of an interest in land, the eligible trust fund recipient receiving the funds must notify the owner of the land that is the subject of the trust fund grant or loan of the following in writing:</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that interests in land purchased with trust funds result in a permanent conveyance of such interests in land from the landowner to the eligible trust fund recipient or its assigns;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that it may be in the landowner</w:t>
      </w:r>
      <w:r w:rsidR="003930ED" w:rsidRPr="003930ED">
        <w:rPr>
          <w:color w:val="000000" w:themeColor="text1"/>
          <w:u w:color="000000" w:themeColor="text1"/>
        </w:rPr>
        <w:t>’</w:t>
      </w:r>
      <w:r w:rsidRPr="00A93C71">
        <w:rPr>
          <w:color w:val="000000" w:themeColor="text1"/>
          <w:u w:color="000000" w:themeColor="text1"/>
        </w:rPr>
        <w:t>s interest to retain independent legal counsel, appraisals, and other professional advice.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The application must contain an affirmation that the notice requirement of this subsection has been met.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(C)</w:t>
      </w:r>
      <w:r w:rsidRPr="00A93C71">
        <w:rPr>
          <w:color w:val="000000" w:themeColor="text1"/>
          <w:u w:color="000000" w:themeColor="text1"/>
        </w:rPr>
        <w:tab/>
        <w:t xml:space="preserve">Grants and loans from the trust fund must be awarded based upon the conservation criteria contained in subsection (D) and the financial criteria contained in subsection (E). In each application the </w:t>
      </w:r>
      <w:r w:rsidRPr="00A93C71">
        <w:rPr>
          <w:color w:val="000000" w:themeColor="text1"/>
          <w:u w:color="000000" w:themeColor="text1"/>
        </w:rPr>
        <w:lastRenderedPageBreak/>
        <w:t>qualifying entity must provide information regarding how the proposal meets one or more of the following criteria and advances the purposes of the bank.</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(D)</w:t>
      </w:r>
      <w:r w:rsidRPr="00A93C71">
        <w:rPr>
          <w:color w:val="000000" w:themeColor="text1"/>
          <w:u w:color="000000" w:themeColor="text1"/>
        </w:rPr>
        <w:tab/>
        <w:t>For purposes of this chapter, conservation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value of the proposal for the conservation of unique or important wildlife habitat;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value of the proposal for the conservation of any rare or endangered species;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value of the proposal for the conservation of a relatively undisturbed or outstanding example of an ecosystem indigenous to South Carolina;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value of the proposal for the conservation of riparian habitats, wetlands, water quality, watersheds of significant ecological value, critical aquifer recharge areas, estuaries, bays or beaches;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value of the proposal for the conservation of outstanding geologic features;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value of the proposal for the conservation of a site of unique historical or archaeological significance;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value of the proposal for the conservation of an area of critical, forestlands, farmlands, or wetlands;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value of the proposal for the conservation of an area of forestlands or farmlands which are located on prime soils, in microclimates or have strategic geographical significances;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(9)</w:t>
      </w:r>
      <w:r w:rsidRPr="00A93C71">
        <w:rPr>
          <w:color w:val="000000" w:themeColor="text1"/>
          <w:u w:color="000000" w:themeColor="text1"/>
        </w:rPr>
        <w:tab/>
        <w:t>the value of the proposal for the conservation of an area for public outdoor recreation, greenways, or parkland;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(10)</w:t>
      </w:r>
      <w:r w:rsidRPr="00A93C71">
        <w:rPr>
          <w:color w:val="000000" w:themeColor="text1"/>
          <w:u w:color="000000" w:themeColor="text1"/>
        </w:rPr>
        <w:tab/>
        <w:t>the value of the proposal for the conservation of a larger area or ecosystem already containing protected lands, or as a connection between natural habitats or open space that are already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(11)</w:t>
      </w:r>
      <w:r w:rsidRPr="00A93C71">
        <w:rPr>
          <w:color w:val="000000" w:themeColor="text1"/>
          <w:u w:color="000000" w:themeColor="text1"/>
        </w:rPr>
        <w:tab/>
        <w:t>the value of the proposal for the amount of land protected;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(12)</w:t>
      </w:r>
      <w:r w:rsidRPr="00A93C71">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A93C71">
        <w:rPr>
          <w:color w:val="000000" w:themeColor="text1"/>
          <w:u w:val="single" w:color="000000" w:themeColor="text1"/>
        </w:rPr>
        <w: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(13)</w:t>
      </w:r>
      <w:r w:rsidRPr="00A93C71">
        <w:rPr>
          <w:color w:val="000000" w:themeColor="text1"/>
          <w:u w:color="000000" w:themeColor="text1"/>
        </w:rPr>
        <w:tab/>
      </w:r>
      <w:r w:rsidRPr="00A93C71">
        <w:rPr>
          <w:color w:val="000000" w:themeColor="text1"/>
          <w:u w:val="single" w:color="000000" w:themeColor="text1"/>
        </w:rPr>
        <w:t>the value of the proposal for access to the public</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(E)</w:t>
      </w:r>
      <w:r w:rsidRPr="00A93C71">
        <w:rPr>
          <w:color w:val="000000" w:themeColor="text1"/>
          <w:u w:color="000000" w:themeColor="text1"/>
        </w:rPr>
        <w:tab/>
        <w:t>For purposes of this chapter, financial criteria include: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degree to which the proposal presents a unique value opportunity in that it protects land at a reasonable cost;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kind assets or services from other governmental sources;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r>
      <w:r w:rsidRPr="00A93C71">
        <w:rPr>
          <w:color w:val="000000" w:themeColor="text1"/>
          <w:u w:color="000000" w:themeColor="text1"/>
        </w:rPr>
        <w:tab/>
        <w:t>(3)</w:t>
      </w:r>
      <w:r w:rsidRPr="00A93C71">
        <w:rPr>
          <w:color w:val="000000" w:themeColor="text1"/>
          <w:u w:color="000000" w:themeColor="text1"/>
        </w:rPr>
        <w:tab/>
        <w:t>the degree to which the proposal leverages trust funds by including funding or in</w:t>
      </w:r>
      <w:r w:rsidR="003930ED">
        <w:rPr>
          <w:color w:val="000000" w:themeColor="text1"/>
          <w:u w:color="000000" w:themeColor="text1"/>
        </w:rPr>
        <w:noBreakHyphen/>
      </w:r>
      <w:r w:rsidRPr="00A93C71">
        <w:rPr>
          <w:color w:val="000000" w:themeColor="text1"/>
          <w:u w:color="000000" w:themeColor="text1"/>
        </w:rPr>
        <w:t>kind assets or services from private or nonprofit sources, or charitable donations of land or conservation easements;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degree to which the proposal leverages trust funds by purchasing conservation easements that preserve land at a cost that is low relative to the fair market value of the fee simple title of the land preserved;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degree to which other conservation incentives and means of conservation, such as donated conservation easements or participation in other governmental programs, have been explored, applied for, secured, or exhausted.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(F)</w:t>
      </w:r>
      <w:r w:rsidRPr="00A93C71">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(G)</w:t>
      </w:r>
      <w:r w:rsidRPr="00A93C71">
        <w:rPr>
          <w:color w:val="000000" w:themeColor="text1"/>
          <w:u w:color="000000" w:themeColor="text1"/>
        </w:rPr>
        <w:tab/>
        <w:t>For each grant or loan application the applicant shall specify:</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the purpose of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how the application satisfies criteria listed in subsections (D), (E), and (F);</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uses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responsible for enforcing any conservation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the extent to which the public is afforded access on the land</w:t>
      </w:r>
      <w:r w:rsidRPr="00A93C71">
        <w:rPr>
          <w:color w:val="000000" w:themeColor="text1"/>
          <w:u w:val="single" w:color="000000" w:themeColor="text1"/>
        </w:rPr>
        <w:t>, including documentation that clearly specifies:</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w:t>
      </w:r>
      <w:r w:rsidR="00924152" w:rsidRPr="00924152">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the level of public access 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w:t>
      </w:r>
      <w:r w:rsidRPr="00A93C71">
        <w:rPr>
          <w:color w:val="000000" w:themeColor="text1"/>
          <w:u w:color="000000" w:themeColor="text1"/>
        </w:rPr>
        <w:tab/>
      </w:r>
      <w:r w:rsidRPr="00A93C71">
        <w:rPr>
          <w:color w:val="000000" w:themeColor="text1"/>
          <w:u w:val="single" w:color="000000" w:themeColor="text1"/>
        </w:rPr>
        <w:t>limitations on public access to the land and the reason for the limit;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r>
      <w:r w:rsidRPr="00A93C71">
        <w:rPr>
          <w:color w:val="000000" w:themeColor="text1"/>
          <w:u w:color="000000" w:themeColor="text1"/>
        </w:rPr>
        <w:tab/>
      </w:r>
      <w:r w:rsidRPr="00A93C71">
        <w:rPr>
          <w:color w:val="000000" w:themeColor="text1"/>
          <w:u w:val="single" w:color="000000" w:themeColor="text1"/>
        </w:rPr>
        <w:t>(iii)</w:t>
      </w:r>
      <w:r w:rsidRPr="00A93C71">
        <w:rPr>
          <w:color w:val="000000" w:themeColor="text1"/>
          <w:u w:color="000000" w:themeColor="text1"/>
        </w:rPr>
        <w:tab/>
      </w:r>
      <w:r w:rsidR="008E39BD">
        <w:rPr>
          <w:color w:val="000000" w:themeColor="text1"/>
          <w:u w:val="single" w:color="000000" w:themeColor="text1"/>
        </w:rPr>
        <w:t>the manner in which</w:t>
      </w:r>
      <w:r w:rsidRPr="00A93C71">
        <w:rPr>
          <w:color w:val="000000" w:themeColor="text1"/>
          <w:u w:val="single" w:color="000000" w:themeColor="text1"/>
        </w:rPr>
        <w:t xml:space="preserve"> the public access will be maintained and monitored</w:t>
      </w:r>
      <w:r w:rsidRPr="00A93C71">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(H)</w:t>
      </w:r>
      <w:r w:rsidRPr="00A93C71">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w:t>
      </w:r>
      <w:r w:rsidRPr="00A93C71">
        <w:rPr>
          <w:color w:val="000000" w:themeColor="text1"/>
          <w:u w:color="000000" w:themeColor="text1"/>
        </w:rPr>
        <w:lastRenderedPageBreak/>
        <w:t>recipient seeks a trust fund grant or loan to acquire a conservation easement, it must demonstrate both the expertise and financial 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(I)</w:t>
      </w:r>
      <w:r w:rsidRPr="00A93C71">
        <w:rPr>
          <w:color w:val="000000" w:themeColor="text1"/>
          <w:u w:color="000000" w:themeColor="text1"/>
        </w:rPr>
        <w:tab/>
        <w:t>An eligible trust fund recipient seeking a grant or loan from the trust fund must: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demonstrate that it is able to complete the project and acquire the interests in land proposed;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indicate the total number of acres of land it has preserved in the State;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briefly describe the lands it has preserved in the State, including their size, location, and method of preservation. The reporting requirement of this subsection need not be complied with for specific preserved lands when in the grant or loan applicant</w:t>
      </w:r>
      <w:r w:rsidR="003930ED" w:rsidRPr="003930ED">
        <w:rPr>
          <w:color w:val="000000" w:themeColor="text1"/>
          <w:u w:color="000000" w:themeColor="text1"/>
        </w:rPr>
        <w:t>’</w:t>
      </w:r>
      <w:r w:rsidRPr="00A93C71">
        <w:rPr>
          <w:color w:val="000000" w:themeColor="text1"/>
          <w:u w:color="000000" w:themeColor="text1"/>
        </w:rPr>
        <w:t>s discretion, or in the discretion of the owners of such preserved lands, the privacy or proprietary interests of the owners of such preserved lands would be violated.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(J)</w:t>
      </w:r>
      <w:r w:rsidRPr="00A93C71">
        <w:rPr>
          <w:color w:val="000000" w:themeColor="text1"/>
          <w:u w:color="000000" w:themeColor="text1"/>
        </w:rPr>
        <w:tab/>
        <w:t>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(K)</w:t>
      </w:r>
      <w:r w:rsidRPr="00A93C71">
        <w:rPr>
          <w:color w:val="000000" w:themeColor="text1"/>
          <w:u w:color="000000" w:themeColor="text1"/>
        </w:rPr>
        <w:tab/>
        <w:t>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t>(L)</w:t>
      </w:r>
      <w:r w:rsidRPr="00CC6CBF">
        <w:rPr>
          <w:strike/>
          <w:u w:color="000000" w:themeColor="text1"/>
        </w:rPr>
        <w:t>(1)</w:t>
      </w:r>
      <w:r w:rsidRPr="00CC6CBF">
        <w:rPr>
          <w:u w:color="000000" w:themeColor="text1"/>
        </w:rPr>
        <w:tab/>
      </w:r>
      <w:r w:rsidRPr="00CC6CBF">
        <w:rPr>
          <w:strike/>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p>
    <w:p w:rsidR="0087234C" w:rsidRPr="00A93C71"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r>
      <w:r w:rsidRPr="00CC6CBF">
        <w:rPr>
          <w:u w:color="000000" w:themeColor="text1"/>
        </w:rPr>
        <w:tab/>
      </w:r>
      <w:r w:rsidRPr="00CC6CBF">
        <w:rPr>
          <w:strike/>
          <w:u w:color="000000" w:themeColor="text1"/>
        </w:rPr>
        <w:t>(2)</w:t>
      </w:r>
      <w:r w:rsidRPr="00CC6CBF">
        <w:rPr>
          <w:u w:color="000000" w:themeColor="text1"/>
        </w:rPr>
        <w:tab/>
      </w:r>
      <w:r w:rsidRPr="00CC6CBF">
        <w:rPr>
          <w:strike/>
          <w:u w:color="000000" w:themeColor="text1"/>
        </w:rPr>
        <w:t xml:space="preserve">The board shall authorize at least ten percent of the monies credited to the trust fund during the preceding fiscal year for the acquisition of interests in land that provides public access. To the </w:t>
      </w:r>
      <w:r w:rsidRPr="00CC6CBF">
        <w:rPr>
          <w:strike/>
          <w:u w:color="000000" w:themeColor="text1"/>
        </w:rPr>
        <w:lastRenderedPageBreak/>
        <w:t>extent the ten percent authorization required by this item is not met in any particular year, the balance must be carried over and used for acquisition of interests in land that provide public access in ensuing years.</w:t>
      </w:r>
      <w:r w:rsidRPr="00CC6CBF">
        <w:rPr>
          <w:u w:color="000000" w:themeColor="text1"/>
        </w:rPr>
        <w:t xml:space="preserve"> </w:t>
      </w:r>
      <w:r w:rsidRPr="00CC6CBF">
        <w:rPr>
          <w:u w:val="single" w:color="000000" w:themeColor="text1"/>
        </w:rPr>
        <w:t>The board may not authorize the purchase of a conservation easement for more than one million dollars unless the transaction is approved by the State Fiscal Accountability Authority.</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(M)</w:t>
      </w:r>
      <w:r w:rsidRPr="00A93C71">
        <w:rPr>
          <w:color w:val="000000" w:themeColor="text1"/>
          <w:u w:color="000000" w:themeColor="text1"/>
        </w:rPr>
        <w:tab/>
        <w:t>The board only may authorize grants or loans to purchase interests in lands at fair market value. In no cases may funds from the trust fund be used to acquire interests in lands at a price that exceeds the fair market value of the interest being acquired. However, trust funds may be used to acquire interests in land at below fair market value, but only if the owner of the interest consents and in writing to sell at below fair market value. The board must establish reasonable procedures to document the fair market value of interests in lands and to ensure that the purchase price does not exceed the fair market value. The board shall promulgate regulations pursuant to Chapter 23 of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t>(N)</w:t>
      </w:r>
      <w:r w:rsidRPr="00A93C71">
        <w:rPr>
          <w:color w:val="000000" w:themeColor="text1"/>
          <w:u w:color="000000" w:themeColor="text1"/>
        </w:rPr>
        <w:tab/>
        <w:t>In awarding a grant or loan from the trust fund the board shall set forth findings that indicate:</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(1)</w:t>
      </w:r>
      <w:r w:rsidRPr="00A93C71">
        <w:rPr>
          <w:color w:val="000000" w:themeColor="text1"/>
          <w:u w:color="000000" w:themeColor="text1"/>
        </w:rPr>
        <w:tab/>
        <w:t>how the application satisfies the purposes of this chapter, and the criteria and other considerations set forth in this section;</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the purpose of the award and the use to which the land will be put;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(3)</w:t>
      </w:r>
      <w:r w:rsidRPr="00A93C71">
        <w:rPr>
          <w:color w:val="000000" w:themeColor="text1"/>
          <w:u w:color="000000" w:themeColor="text1"/>
        </w:rPr>
        <w:tab/>
        <w:t>the extent to which public access, hunting, fishing, or other forms of outdoor recreation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(4)</w:t>
      </w:r>
      <w:r w:rsidRPr="00A93C71">
        <w:rPr>
          <w:color w:val="000000" w:themeColor="text1"/>
          <w:u w:color="000000" w:themeColor="text1"/>
        </w:rPr>
        <w:tab/>
        <w:t>the extent to which farming, forestry, timber management, or wildlife habitat management will be conducted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(5)</w:t>
      </w:r>
      <w:r w:rsidRPr="00A93C71">
        <w:rPr>
          <w:color w:val="000000" w:themeColor="text1"/>
          <w:u w:color="000000" w:themeColor="text1"/>
        </w:rPr>
        <w:tab/>
        <w:t>the party responsible for managing and maintaining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(6)</w:t>
      </w:r>
      <w:r w:rsidRPr="00A93C71">
        <w:rPr>
          <w:color w:val="000000" w:themeColor="text1"/>
          <w:u w:color="000000" w:themeColor="text1"/>
        </w:rPr>
        <w:tab/>
        <w:t>the party responsible for enforcing any easements or other restrictions upon the land;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(7)</w:t>
      </w:r>
      <w:r w:rsidRPr="00A93C71">
        <w:rPr>
          <w:color w:val="000000" w:themeColor="text1"/>
          <w:u w:color="000000" w:themeColor="text1"/>
        </w:rPr>
        <w:tab/>
        <w:t>the parties designated in items (5) and (6) possess the expertise and financial resources to fulfill their obligations; and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(8)</w:t>
      </w:r>
      <w:r w:rsidRPr="00A93C71">
        <w:rPr>
          <w:color w:val="000000" w:themeColor="text1"/>
          <w:u w:color="000000" w:themeColor="text1"/>
        </w:rPr>
        <w:tab/>
        <w:t>any other findings or information relevant to the award.</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lastRenderedPageBreak/>
        <w:tab/>
        <w:t>(O)(1)</w:t>
      </w:r>
      <w:r w:rsidRPr="00A93C71">
        <w:rPr>
          <w:color w:val="000000" w:themeColor="text1"/>
          <w:u w:color="000000" w:themeColor="text1"/>
        </w:rPr>
        <w:tab/>
        <w:t>Trust funds may not be used to acquire interest in land downzoned within three years of the application unless the interest is sold for the predownzoning value or current value, whichever is greater. However, this requirement is waived if the owner of the downzoned property agrees to accept a lesser amount.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ab/>
      </w:r>
      <w:r w:rsidRPr="00A93C71">
        <w:rPr>
          <w:color w:val="000000" w:themeColor="text1"/>
          <w:u w:color="000000" w:themeColor="text1"/>
        </w:rPr>
        <w:tab/>
        <w:t>(2)</w:t>
      </w:r>
      <w:r w:rsidRPr="00A93C71">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r w:rsidR="008E39BD">
        <w:rPr>
          <w:color w:val="000000" w:themeColor="text1"/>
          <w:u w:color="000000" w:themeColor="text1"/>
        </w:rPr>
        <w:t>”</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C02945"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SECTION</w:t>
      </w:r>
      <w:r w:rsidRPr="00CC6CBF">
        <w:rPr>
          <w:u w:color="000000" w:themeColor="text1"/>
        </w:rPr>
        <w:tab/>
        <w:t>4.</w:t>
      </w:r>
      <w:r w:rsidRPr="00CC6CBF">
        <w:rPr>
          <w:u w:color="000000" w:themeColor="text1"/>
        </w:rPr>
        <w:tab/>
        <w:t>Sections 12</w:t>
      </w:r>
      <w:r w:rsidRPr="00CC6CBF">
        <w:rPr>
          <w:u w:color="000000" w:themeColor="text1"/>
        </w:rPr>
        <w:noBreakHyphen/>
        <w:t>24</w:t>
      </w:r>
      <w:r w:rsidRPr="00CC6CBF">
        <w:rPr>
          <w:u w:color="000000" w:themeColor="text1"/>
        </w:rPr>
        <w:noBreakHyphen/>
        <w:t>95 and 48</w:t>
      </w:r>
      <w:r w:rsidRPr="00CC6CBF">
        <w:rPr>
          <w:u w:color="000000" w:themeColor="text1"/>
        </w:rPr>
        <w:noBreakHyphen/>
        <w:t>59</w:t>
      </w:r>
      <w:r w:rsidRPr="00CC6CBF">
        <w:rPr>
          <w:u w:color="000000" w:themeColor="text1"/>
        </w:rPr>
        <w:noBreakHyphen/>
        <w:t>75 of the 1976 Code are repealed.</w:t>
      </w:r>
      <w:r w:rsidR="0087234C" w:rsidRPr="00A93C71">
        <w:rPr>
          <w:color w:val="000000" w:themeColor="text1"/>
          <w:u w:color="000000" w:themeColor="text1"/>
        </w:rPr>
        <w:t xml:space="preserve">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34C" w:rsidRPr="00A93C71" w:rsidRDefault="008E39BD"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7234C" w:rsidRPr="00A93C71">
        <w:rPr>
          <w:color w:val="000000" w:themeColor="text1"/>
          <w:u w:color="000000" w:themeColor="text1"/>
        </w:rPr>
        <w:t>5.</w:t>
      </w:r>
      <w:r>
        <w:rPr>
          <w:color w:val="000000" w:themeColor="text1"/>
          <w:u w:color="000000" w:themeColor="text1"/>
        </w:rPr>
        <w:tab/>
      </w:r>
      <w:r w:rsidR="0087234C" w:rsidRPr="00A93C71">
        <w:rPr>
          <w:color w:val="000000" w:themeColor="text1"/>
          <w:u w:color="000000" w:themeColor="text1"/>
        </w:rPr>
        <w:t xml:space="preserve">SECTION 7 of Act 200 of 2002 is repealed. </w:t>
      </w:r>
    </w:p>
    <w:p w:rsidR="0087234C" w:rsidRPr="00A93C71"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3D1A" w:rsidRPr="007818B0" w:rsidRDefault="0087234C"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C71">
        <w:rPr>
          <w:color w:val="000000" w:themeColor="text1"/>
          <w:u w:color="000000" w:themeColor="text1"/>
        </w:rPr>
        <w:t>SECTION</w:t>
      </w:r>
      <w:r w:rsidR="008E39BD">
        <w:rPr>
          <w:color w:val="000000" w:themeColor="text1"/>
          <w:u w:color="000000" w:themeColor="text1"/>
        </w:rPr>
        <w:tab/>
      </w:r>
      <w:r w:rsidRPr="00A93C71">
        <w:rPr>
          <w:color w:val="000000" w:themeColor="text1"/>
          <w:u w:color="000000" w:themeColor="text1"/>
        </w:rPr>
        <w:t>6.</w:t>
      </w:r>
      <w:r w:rsidR="008F3D1A">
        <w:rPr>
          <w:color w:val="000000" w:themeColor="text1"/>
          <w:u w:color="000000" w:themeColor="text1"/>
        </w:rPr>
        <w:tab/>
      </w:r>
      <w:r w:rsidR="008F3D1A" w:rsidRPr="007818B0">
        <w:rPr>
          <w:color w:val="000000" w:themeColor="text1"/>
          <w:u w:color="000000" w:themeColor="text1"/>
        </w:rPr>
        <w:t>(A)</w:t>
      </w:r>
      <w:r w:rsidR="008F3D1A">
        <w:rPr>
          <w:color w:val="000000" w:themeColor="text1"/>
          <w:u w:color="000000" w:themeColor="text1"/>
        </w:rPr>
        <w:tab/>
      </w:r>
      <w:r w:rsidR="008F3D1A" w:rsidRPr="007818B0">
        <w:rPr>
          <w:color w:val="000000" w:themeColor="text1"/>
          <w:u w:color="000000" w:themeColor="text1"/>
        </w:rPr>
        <w:t>Effective July 1, 2018, the South Carolina Conservation Bank board must be made up of members elected pursuant to the provisions of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 as amended by this act. The members serving on the board immediately prior to July 1, 2018</w:t>
      </w:r>
      <w:r w:rsidR="003B3128">
        <w:rPr>
          <w:color w:val="000000" w:themeColor="text1"/>
          <w:u w:color="000000" w:themeColor="text1"/>
        </w:rPr>
        <w:t>,</w:t>
      </w:r>
      <w:r w:rsidR="008F3D1A" w:rsidRPr="007818B0">
        <w:rPr>
          <w:color w:val="000000" w:themeColor="text1"/>
          <w:u w:color="000000" w:themeColor="text1"/>
        </w:rPr>
        <w:t xml:space="preserve"> must no longer serve on the commission unless the member is reappointed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 xml:space="preserve">40, as amended by this act. The initial appointments to the board must be staggered so that </w:t>
      </w:r>
      <w:r w:rsidR="009C5315">
        <w:rPr>
          <w:color w:val="000000" w:themeColor="text1"/>
          <w:u w:color="000000" w:themeColor="text1"/>
        </w:rPr>
        <w:t>one</w:t>
      </w:r>
      <w:r w:rsidR="008F3D1A" w:rsidRPr="007818B0">
        <w:rPr>
          <w:color w:val="000000" w:themeColor="text1"/>
          <w:u w:color="000000" w:themeColor="text1"/>
        </w:rPr>
        <w:t xml:space="preserve"> of the members appointed by the Governor, the members from the Third and Sixth Congressional Districts appointed by the Speaker of the House of Representatives, and the members from the First and Seventh Congressional Districts must be appointed to an initial term of two years. The Governor must clearly specify which of his appointments are for two years terms. The remaining initial appointments and all subsequent appointments must be for four</w:t>
      </w:r>
      <w:r w:rsidR="003930ED">
        <w:rPr>
          <w:color w:val="000000" w:themeColor="text1"/>
          <w:u w:color="000000" w:themeColor="text1"/>
        </w:rPr>
        <w:noBreakHyphen/>
      </w:r>
      <w:r w:rsidR="008F3D1A" w:rsidRPr="007818B0">
        <w:rPr>
          <w:color w:val="000000" w:themeColor="text1"/>
          <w:u w:color="000000" w:themeColor="text1"/>
        </w:rPr>
        <w:t>year terms pursuant to Section 48</w:t>
      </w:r>
      <w:r w:rsidR="003930ED">
        <w:rPr>
          <w:color w:val="000000" w:themeColor="text1"/>
          <w:u w:color="000000" w:themeColor="text1"/>
        </w:rPr>
        <w:noBreakHyphen/>
      </w:r>
      <w:r w:rsidR="008F3D1A" w:rsidRPr="007818B0">
        <w:rPr>
          <w:color w:val="000000" w:themeColor="text1"/>
          <w:u w:color="000000" w:themeColor="text1"/>
        </w:rPr>
        <w:t>59</w:t>
      </w:r>
      <w:r w:rsidR="003930ED">
        <w:rPr>
          <w:color w:val="000000" w:themeColor="text1"/>
          <w:u w:color="000000" w:themeColor="text1"/>
        </w:rPr>
        <w:noBreakHyphen/>
      </w:r>
      <w:r w:rsidR="008F3D1A" w:rsidRPr="007818B0">
        <w:rPr>
          <w:color w:val="000000" w:themeColor="text1"/>
          <w:u w:color="000000" w:themeColor="text1"/>
        </w:rPr>
        <w:t>40.</w:t>
      </w:r>
    </w:p>
    <w:p w:rsidR="0087234C" w:rsidRPr="00A93C71" w:rsidRDefault="008F3D1A" w:rsidP="008F3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18B0">
        <w:rPr>
          <w:color w:val="000000" w:themeColor="text1"/>
          <w:u w:color="000000" w:themeColor="text1"/>
        </w:rPr>
        <w:t>(B)</w:t>
      </w:r>
      <w:r>
        <w:rPr>
          <w:color w:val="000000" w:themeColor="text1"/>
          <w:u w:color="000000" w:themeColor="text1"/>
        </w:rPr>
        <w:tab/>
      </w:r>
      <w:r w:rsidRPr="007818B0">
        <w:rPr>
          <w:color w:val="000000" w:themeColor="text1"/>
          <w:u w:color="000000" w:themeColor="text1"/>
        </w:rPr>
        <w:t>To ensure an efficient transition, upon approval by the Governor, the appointing officials may begin appointing members whose term will take effect on July 1, 2018.</w:t>
      </w:r>
    </w:p>
    <w:p w:rsid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945"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 7</w:t>
      </w:r>
      <w:r w:rsidRPr="00CC6CBF">
        <w:rPr>
          <w:u w:color="000000" w:themeColor="text1"/>
        </w:rPr>
        <w:t>.</w:t>
      </w:r>
      <w:r w:rsidRPr="00CC6CBF">
        <w:rPr>
          <w:u w:color="000000" w:themeColor="text1"/>
        </w:rPr>
        <w:tab/>
        <w:t>Section 48</w:t>
      </w:r>
      <w:r w:rsidRPr="00CC6CBF">
        <w:rPr>
          <w:u w:color="000000" w:themeColor="text1"/>
        </w:rPr>
        <w:noBreakHyphen/>
        <w:t>59</w:t>
      </w:r>
      <w:r w:rsidRPr="00CC6CBF">
        <w:rPr>
          <w:u w:color="000000" w:themeColor="text1"/>
        </w:rPr>
        <w:noBreakHyphen/>
        <w:t>110 of the 1976 Code is amended to read:</w:t>
      </w: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02945" w:rsidRPr="00CC6CBF"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6CBF">
        <w:rPr>
          <w:u w:color="000000" w:themeColor="text1"/>
        </w:rPr>
        <w:tab/>
        <w:t>“Section 48</w:t>
      </w:r>
      <w:r w:rsidRPr="00CC6CBF">
        <w:rPr>
          <w:u w:color="000000" w:themeColor="text1"/>
        </w:rPr>
        <w:noBreakHyphen/>
        <w:t>59</w:t>
      </w:r>
      <w:r w:rsidRPr="00CC6CBF">
        <w:rPr>
          <w:u w:color="000000" w:themeColor="text1"/>
        </w:rPr>
        <w:noBreakHyphen/>
        <w:t xml:space="preserve">110. </w:t>
      </w:r>
      <w:r w:rsidRPr="00CC6CBF">
        <w:rPr>
          <w:u w:color="000000" w:themeColor="text1"/>
        </w:rPr>
        <w:tab/>
      </w:r>
      <w:r w:rsidRPr="00CC6CBF">
        <w:rPr>
          <w:u w:val="single" w:color="000000" w:themeColor="text1"/>
        </w:rPr>
        <w:t>(A)</w:t>
      </w:r>
      <w:r w:rsidRPr="00CC6CBF">
        <w:rPr>
          <w:u w:color="000000" w:themeColor="text1"/>
        </w:rPr>
        <w:tab/>
        <w:t>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w:t>
      </w:r>
    </w:p>
    <w:p w:rsidR="00C02945" w:rsidRDefault="00C02945" w:rsidP="00C0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CBF">
        <w:rPr>
          <w:u w:color="000000" w:themeColor="text1"/>
        </w:rPr>
        <w:tab/>
      </w:r>
      <w:r w:rsidRPr="00CC6CBF">
        <w:rPr>
          <w:u w:val="single" w:color="000000" w:themeColor="text1"/>
        </w:rPr>
        <w:t>(B)</w:t>
      </w:r>
      <w:r w:rsidRPr="00CC6CBF">
        <w:rPr>
          <w:u w:color="000000" w:themeColor="text1"/>
        </w:rPr>
        <w:tab/>
      </w:r>
      <w:r w:rsidRPr="00CC6CBF">
        <w:rPr>
          <w:u w:val="single" w:color="000000" w:themeColor="text1"/>
        </w:rPr>
        <w:t>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public access. The state agency receiving the funds shall 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CC6CBF">
        <w:rPr>
          <w:u w:color="000000" w:themeColor="text1"/>
        </w:rPr>
        <w:t>”</w:t>
      </w:r>
    </w:p>
    <w:p w:rsidR="00C02945" w:rsidRPr="00A93C71" w:rsidRDefault="00C02945"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3C71">
        <w:rPr>
          <w:color w:val="000000" w:themeColor="text1"/>
          <w:u w:color="000000" w:themeColor="text1"/>
        </w:rPr>
        <w:t>SECTION</w:t>
      </w:r>
      <w:r w:rsidR="008E39BD">
        <w:rPr>
          <w:color w:val="000000" w:themeColor="text1"/>
          <w:u w:color="000000" w:themeColor="text1"/>
        </w:rPr>
        <w:tab/>
      </w:r>
      <w:r w:rsidR="00C02945">
        <w:rPr>
          <w:color w:val="000000" w:themeColor="text1"/>
          <w:u w:color="000000" w:themeColor="text1"/>
        </w:rPr>
        <w:t>8</w:t>
      </w:r>
      <w:r w:rsidRPr="00A93C71">
        <w:rPr>
          <w:color w:val="000000" w:themeColor="text1"/>
          <w:u w:color="000000" w:themeColor="text1"/>
        </w:rPr>
        <w:t>.</w:t>
      </w:r>
      <w:r w:rsidRPr="00A93C71">
        <w:rPr>
          <w:color w:val="000000" w:themeColor="text1"/>
          <w:u w:color="000000" w:themeColor="text1"/>
        </w:rPr>
        <w:tab/>
        <w:t xml:space="preserve">This act takes effect July 1, 2018.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F82" w:rsidRDefault="002F2F82" w:rsidP="002F2F82">
      <w:pPr>
        <w:suppressAutoHyphens/>
      </w:pPr>
    </w:p>
    <w:sectPr w:rsidR="002F2F82"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45" w:rsidRDefault="00C02945" w:rsidP="009F0C77">
      <w:r>
        <w:separator/>
      </w:r>
    </w:p>
  </w:endnote>
  <w:endnote w:type="continuationSeparator" w:id="0">
    <w:p w:rsidR="00C02945" w:rsidRDefault="00C02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AC7DE2-EDD6-419F-B2F8-C9E430ABFD8D}"/>
    <w:embedBold r:id="rId2" w:fontKey="{D09E6D16-CFBA-4CCC-825C-FED3AB62BDB3}"/>
  </w:font>
  <w:font w:name="Calibri">
    <w:panose1 w:val="020F0502020204030204"/>
    <w:charset w:val="00"/>
    <w:family w:val="swiss"/>
    <w:pitch w:val="variable"/>
    <w:sig w:usb0="E00002FF" w:usb1="4000ACFF" w:usb2="00000001" w:usb3="00000000" w:csb0="0000019F" w:csb1="00000000"/>
    <w:embedRegular r:id="rId3" w:fontKey="{FCAF6D5E-F74F-4C78-9732-76C5682C4AC5}"/>
  </w:font>
  <w:font w:name="Cambria">
    <w:panose1 w:val="02040503050406030204"/>
    <w:charset w:val="00"/>
    <w:family w:val="roman"/>
    <w:pitch w:val="variable"/>
    <w:sig w:usb0="E00002FF" w:usb1="400004FF" w:usb2="00000000" w:usb3="00000000" w:csb0="0000019F" w:csb1="00000000"/>
    <w:embedRegular r:id="rId4" w:fontKey="{A6672696-69B4-44F9-BD44-A1712BB1CD9D}"/>
  </w:font>
  <w:font w:name="Segoe UI">
    <w:panose1 w:val="020B0502040204020203"/>
    <w:charset w:val="00"/>
    <w:family w:val="swiss"/>
    <w:pitch w:val="variable"/>
    <w:sig w:usb0="E10022FF" w:usb1="C000E47F" w:usb2="00000029" w:usb3="00000000" w:csb0="000001DF" w:csb1="00000000"/>
    <w:embedRegular r:id="rId5" w:fontKey="{7770CEF7-4A33-43B8-A6BD-87FD21D146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fldChar w:fldCharType="begin"/>
    </w:r>
    <w:r>
      <w:instrText xml:space="preserve"> PAGE  \* MERGEFORMAT </w:instrText>
    </w:r>
    <w:r>
      <w:fldChar w:fldCharType="separate"/>
    </w:r>
    <w:r w:rsidR="002F2F8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2F2F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45" w:rsidRDefault="00C02945" w:rsidP="009F0C77">
      <w:r>
        <w:separator/>
      </w:r>
    </w:p>
  </w:footnote>
  <w:footnote w:type="continuationSeparator" w:id="0">
    <w:p w:rsidR="00C02945" w:rsidRDefault="00C02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205238"/>
    <w:rsid w:val="00211476"/>
    <w:rsid w:val="002321B6"/>
    <w:rsid w:val="00250967"/>
    <w:rsid w:val="002543C8"/>
    <w:rsid w:val="0025541D"/>
    <w:rsid w:val="00280BFC"/>
    <w:rsid w:val="00284AAE"/>
    <w:rsid w:val="002B0EBC"/>
    <w:rsid w:val="002E5912"/>
    <w:rsid w:val="002F2F82"/>
    <w:rsid w:val="00301B21"/>
    <w:rsid w:val="00325348"/>
    <w:rsid w:val="0032732C"/>
    <w:rsid w:val="00336AD0"/>
    <w:rsid w:val="00356A47"/>
    <w:rsid w:val="0037079A"/>
    <w:rsid w:val="003930ED"/>
    <w:rsid w:val="003A6836"/>
    <w:rsid w:val="003B3128"/>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62FE"/>
    <w:rsid w:val="005C2FE2"/>
    <w:rsid w:val="005E2BC9"/>
    <w:rsid w:val="005F0777"/>
    <w:rsid w:val="00605102"/>
    <w:rsid w:val="006215AA"/>
    <w:rsid w:val="00631D92"/>
    <w:rsid w:val="00651D1C"/>
    <w:rsid w:val="006913C9"/>
    <w:rsid w:val="0069470D"/>
    <w:rsid w:val="006A45A9"/>
    <w:rsid w:val="006A59E6"/>
    <w:rsid w:val="006D58AA"/>
    <w:rsid w:val="00734F00"/>
    <w:rsid w:val="00776F1F"/>
    <w:rsid w:val="007A70AE"/>
    <w:rsid w:val="007B0AE0"/>
    <w:rsid w:val="008362E8"/>
    <w:rsid w:val="0085786E"/>
    <w:rsid w:val="0087234C"/>
    <w:rsid w:val="008A1768"/>
    <w:rsid w:val="008A489F"/>
    <w:rsid w:val="008E39BD"/>
    <w:rsid w:val="008F0F33"/>
    <w:rsid w:val="008F3D1A"/>
    <w:rsid w:val="008F4429"/>
    <w:rsid w:val="00924152"/>
    <w:rsid w:val="0094021A"/>
    <w:rsid w:val="009B44AF"/>
    <w:rsid w:val="009C5315"/>
    <w:rsid w:val="009C6A0B"/>
    <w:rsid w:val="009F0C77"/>
    <w:rsid w:val="009F4DD1"/>
    <w:rsid w:val="00A02543"/>
    <w:rsid w:val="00A41684"/>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2945"/>
    <w:rsid w:val="00C0345E"/>
    <w:rsid w:val="00C04519"/>
    <w:rsid w:val="00C25953"/>
    <w:rsid w:val="00C31C95"/>
    <w:rsid w:val="00C3483A"/>
    <w:rsid w:val="00C70411"/>
    <w:rsid w:val="00C74E9D"/>
    <w:rsid w:val="00C826DD"/>
    <w:rsid w:val="00C82FD3"/>
    <w:rsid w:val="00C830C6"/>
    <w:rsid w:val="00C92819"/>
    <w:rsid w:val="00CB59A4"/>
    <w:rsid w:val="00CC4F04"/>
    <w:rsid w:val="00CC6B7B"/>
    <w:rsid w:val="00CD2089"/>
    <w:rsid w:val="00D73A67"/>
    <w:rsid w:val="00D970A9"/>
    <w:rsid w:val="00DD73CE"/>
    <w:rsid w:val="00DF3845"/>
    <w:rsid w:val="00E41911"/>
    <w:rsid w:val="00E44B57"/>
    <w:rsid w:val="00E92EEF"/>
    <w:rsid w:val="00EB5848"/>
    <w:rsid w:val="00ED1423"/>
    <w:rsid w:val="00EF2368"/>
    <w:rsid w:val="00F215D5"/>
    <w:rsid w:val="00F24442"/>
    <w:rsid w:val="00F37EF9"/>
    <w:rsid w:val="00F50AE3"/>
    <w:rsid w:val="00F655B7"/>
    <w:rsid w:val="00F656BA"/>
    <w:rsid w:val="00F67CF1"/>
    <w:rsid w:val="00F728AA"/>
    <w:rsid w:val="00F840F0"/>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BD2FC-7C3D-4614-9BF6-2E18BD493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12</Pages>
  <Words>4041</Words>
  <Characters>20641</Characters>
  <Application>Microsoft Office Word</Application>
  <DocSecurity>0</DocSecurity>
  <Lines>471</Lines>
  <Paragraphs>118</Paragraphs>
  <ScaleCrop>false</ScaleCrop>
  <HeadingPairs>
    <vt:vector size="2" baseType="variant">
      <vt:variant>
        <vt:lpstr>Title</vt:lpstr>
      </vt:variant>
      <vt:variant>
        <vt:i4>1</vt:i4>
      </vt:variant>
    </vt:vector>
  </HeadingPairs>
  <TitlesOfParts>
    <vt:vector size="1" baseType="lpstr">
      <vt:lpstr>2017-2018 Bill 4727: Subject not yet available - South Carolina Legislature Online</vt:lpstr>
    </vt:vector>
  </TitlesOfParts>
  <Company>LPITS</Company>
  <LinksUpToDate>false</LinksUpToDate>
  <CharactersWithSpaces>24758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(Feb. 14, 2018) - South Carolina Legislature Online</dc:title>
  <dc:creator>%USERNAME%</dc:creator>
  <cp:lastModifiedBy>Miriam Cook</cp:lastModifiedBy>
  <cp:revision>2</cp:revision>
  <cp:lastPrinted>2018-01-25T15:36:00Z</cp:lastPrinted>
  <dcterms:created xsi:type="dcterms:W3CDTF">2018-02-15T00:37:00Z</dcterms:created>
  <dcterms:modified xsi:type="dcterms:W3CDTF">2018-02-15T00:37:00Z</dcterms:modified>
</cp:coreProperties>
</file>