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588" w:rsidRDefault="00CA65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6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5CE">
        <w:rPr>
          <w:color w:val="000000" w:themeColor="text1"/>
          <w:u w:color="000000" w:themeColor="text1"/>
        </w:rPr>
        <w:t>TO AMEND SECTION 12</w:t>
      </w:r>
      <w:r w:rsidR="0076154B">
        <w:rPr>
          <w:color w:val="000000" w:themeColor="text1"/>
          <w:u w:color="000000" w:themeColor="text1"/>
        </w:rPr>
        <w:noBreakHyphen/>
      </w:r>
      <w:r w:rsidRPr="001145CE">
        <w:rPr>
          <w:color w:val="000000" w:themeColor="text1"/>
          <w:u w:color="000000" w:themeColor="text1"/>
        </w:rPr>
        <w:t>21</w:t>
      </w:r>
      <w:r w:rsidR="0076154B">
        <w:rPr>
          <w:color w:val="000000" w:themeColor="text1"/>
          <w:u w:color="000000" w:themeColor="text1"/>
        </w:rPr>
        <w:noBreakHyphen/>
      </w:r>
      <w:r w:rsidRPr="001145CE">
        <w:rPr>
          <w:color w:val="000000" w:themeColor="text1"/>
          <w:u w:color="000000" w:themeColor="text1"/>
        </w:rPr>
        <w:t>625, CODE OF LAWS OF SOUTH CAROLINA, 1976, RELATING TO THE SURTAX ON CIGARETTES, INCLUDING THE DEFINITION OF “CIGARETTE”, SO AS TO REVISE THE WEIGHT LIMITATION ON CIGARETTES FROM THREE POUNDS OR LESS PER ONE THOUSAND CIGARETTES TO FOUR AND ONE</w:t>
      </w:r>
      <w:r w:rsidR="0076154B">
        <w:rPr>
          <w:color w:val="000000" w:themeColor="text1"/>
          <w:u w:color="000000" w:themeColor="text1"/>
        </w:rPr>
        <w:noBreakHyphen/>
      </w:r>
      <w:r w:rsidRPr="001145CE">
        <w:rPr>
          <w:color w:val="000000" w:themeColor="text1"/>
          <w:u w:color="000000" w:themeColor="text1"/>
        </w:rPr>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669" w:rsidRDefault="00422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669" w:rsidRDefault="00422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96D" w:rsidRPr="001145CE" w:rsidRDefault="00422669"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296D" w:rsidRPr="001145CE">
        <w:rPr>
          <w:color w:val="000000" w:themeColor="text1"/>
          <w:u w:color="000000" w:themeColor="text1"/>
        </w:rPr>
        <w:t>Section 12</w:t>
      </w:r>
      <w:r w:rsidR="0076154B">
        <w:rPr>
          <w:color w:val="000000" w:themeColor="text1"/>
          <w:u w:color="000000" w:themeColor="text1"/>
        </w:rPr>
        <w:noBreakHyphen/>
      </w:r>
      <w:r w:rsidR="0072296D" w:rsidRPr="001145CE">
        <w:rPr>
          <w:color w:val="000000" w:themeColor="text1"/>
          <w:u w:color="000000" w:themeColor="text1"/>
        </w:rPr>
        <w:t>21</w:t>
      </w:r>
      <w:r w:rsidR="0076154B">
        <w:rPr>
          <w:color w:val="000000" w:themeColor="text1"/>
          <w:u w:color="000000" w:themeColor="text1"/>
        </w:rPr>
        <w:noBreakHyphen/>
      </w:r>
      <w:r w:rsidR="0072296D" w:rsidRPr="001145CE">
        <w:rPr>
          <w:color w:val="000000" w:themeColor="text1"/>
          <w:u w:color="000000" w:themeColor="text1"/>
        </w:rPr>
        <w:t>625(D) of the 1976 Code is amended to read:</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“(D)</w:t>
      </w:r>
      <w:r w:rsidRPr="001145CE">
        <w:rPr>
          <w:color w:val="000000" w:themeColor="text1"/>
          <w:u w:color="000000" w:themeColor="text1"/>
        </w:rPr>
        <w:tab/>
        <w:t xml:space="preserve">For purposes of this section, </w:t>
      </w:r>
      <w:r w:rsidR="0076154B" w:rsidRPr="0076154B">
        <w:rPr>
          <w:color w:val="000000" w:themeColor="text1"/>
          <w:u w:color="000000" w:themeColor="text1"/>
        </w:rPr>
        <w:t>‘</w:t>
      </w:r>
      <w:r w:rsidRPr="001145CE">
        <w:rPr>
          <w:color w:val="000000" w:themeColor="text1"/>
          <w:u w:color="000000" w:themeColor="text1"/>
        </w:rPr>
        <w:t>cigarette</w:t>
      </w:r>
      <w:r w:rsidR="0076154B" w:rsidRPr="0076154B">
        <w:rPr>
          <w:color w:val="000000" w:themeColor="text1"/>
          <w:u w:color="000000" w:themeColor="text1"/>
        </w:rPr>
        <w:t>’</w:t>
      </w:r>
      <w:r w:rsidRPr="001145CE">
        <w:rPr>
          <w:color w:val="000000" w:themeColor="text1"/>
          <w:u w:color="000000" w:themeColor="text1"/>
        </w:rPr>
        <w:t xml:space="preserve"> means: </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(1)</w:t>
      </w:r>
      <w:r w:rsidRPr="001145CE">
        <w:rPr>
          <w:color w:val="000000" w:themeColor="text1"/>
          <w:u w:color="000000" w:themeColor="text1"/>
        </w:rPr>
        <w:tab/>
        <w:t xml:space="preserve">any roll for smoking containing tobacco or any substitute for tobacco wrapped in paper or in any substance other than a tobacco leaf; </w:t>
      </w:r>
      <w:r w:rsidRPr="001145CE">
        <w:rPr>
          <w:strike/>
          <w:color w:val="000000" w:themeColor="text1"/>
          <w:u w:color="000000" w:themeColor="text1"/>
        </w:rPr>
        <w:t>or</w:t>
      </w:r>
      <w:r w:rsidRPr="001145CE">
        <w:rPr>
          <w:color w:val="000000" w:themeColor="text1"/>
          <w:u w:color="000000" w:themeColor="text1"/>
        </w:rPr>
        <w:t xml:space="preserve"> </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(2)</w:t>
      </w:r>
      <w:r w:rsidRPr="001145CE">
        <w:rPr>
          <w:color w:val="000000" w:themeColor="text1"/>
          <w:u w:color="000000" w:themeColor="text1"/>
        </w:rPr>
        <w:tab/>
        <w:t xml:space="preserve">any roll for smoking containing tobacco or any substitute for tobacco, </w:t>
      </w:r>
      <w:r w:rsidRPr="001145CE">
        <w:rPr>
          <w:color w:val="000000" w:themeColor="text1"/>
          <w:u w:val="single" w:color="000000" w:themeColor="text1"/>
        </w:rPr>
        <w:t>except those wrapped totally in tobacco leaf that do not have a filter,</w:t>
      </w:r>
      <w:r w:rsidRPr="001145CE">
        <w:rPr>
          <w:color w:val="000000" w:themeColor="text1"/>
          <w:u w:color="000000" w:themeColor="text1"/>
        </w:rPr>
        <w:t xml:space="preserve"> wrapped in any substance, weighing </w:t>
      </w:r>
      <w:r w:rsidRPr="001145CE">
        <w:rPr>
          <w:strike/>
          <w:color w:val="000000" w:themeColor="text1"/>
          <w:u w:color="000000" w:themeColor="text1"/>
        </w:rPr>
        <w:t>three</w:t>
      </w:r>
      <w:r w:rsidRPr="001145CE">
        <w:rPr>
          <w:color w:val="000000" w:themeColor="text1"/>
          <w:u w:color="000000" w:themeColor="text1"/>
        </w:rPr>
        <w:t xml:space="preserve"> </w:t>
      </w:r>
      <w:r w:rsidRPr="001145CE">
        <w:rPr>
          <w:color w:val="000000" w:themeColor="text1"/>
          <w:u w:val="single" w:color="000000" w:themeColor="text1"/>
        </w:rPr>
        <w:t xml:space="preserve">four and </w:t>
      </w:r>
      <w:r w:rsidRPr="001145CE">
        <w:rPr>
          <w:color w:val="000000" w:themeColor="text1"/>
          <w:u w:val="single" w:color="000000" w:themeColor="text1"/>
        </w:rPr>
        <w:lastRenderedPageBreak/>
        <w:t>one</w:t>
      </w:r>
      <w:r w:rsidR="0076154B">
        <w:rPr>
          <w:color w:val="000000" w:themeColor="text1"/>
          <w:u w:val="single" w:color="000000" w:themeColor="text1"/>
        </w:rPr>
        <w:noBreakHyphen/>
      </w:r>
      <w:r w:rsidRPr="001145CE">
        <w:rPr>
          <w:color w:val="000000" w:themeColor="text1"/>
          <w:u w:val="single" w:color="000000" w:themeColor="text1"/>
        </w:rPr>
        <w:t>half</w:t>
      </w:r>
      <w:r w:rsidRPr="001145CE">
        <w:rPr>
          <w:color w:val="000000" w:themeColor="text1"/>
          <w:u w:color="000000" w:themeColor="text1"/>
        </w:rPr>
        <w:t xml:space="preserve"> pounds </w:t>
      </w:r>
      <w:r w:rsidRPr="001145CE">
        <w:rPr>
          <w:color w:val="000000" w:themeColor="text1"/>
          <w:u w:val="single" w:color="000000" w:themeColor="text1"/>
        </w:rPr>
        <w:t>or less</w:t>
      </w:r>
      <w:r w:rsidRPr="001145CE">
        <w:rPr>
          <w:color w:val="000000" w:themeColor="text1"/>
          <w:u w:color="000000" w:themeColor="text1"/>
        </w:rPr>
        <w:t xml:space="preserve"> per thousand </w:t>
      </w:r>
      <w:r w:rsidRPr="001145CE">
        <w:rPr>
          <w:strike/>
          <w:color w:val="000000" w:themeColor="text1"/>
          <w:u w:color="000000" w:themeColor="text1"/>
        </w:rPr>
        <w:t>or less</w:t>
      </w:r>
      <w:r w:rsidRPr="001145CE">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1145CE">
        <w:rPr>
          <w:color w:val="000000" w:themeColor="text1"/>
          <w:u w:val="single" w:color="000000" w:themeColor="text1"/>
        </w:rPr>
        <w:t>; or</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val="single" w:color="000000" w:themeColor="text1"/>
        </w:rPr>
        <w:t>(3)</w:t>
      </w:r>
      <w:r w:rsidRPr="001145CE">
        <w:rPr>
          <w:color w:val="000000" w:themeColor="text1"/>
          <w:u w:color="000000" w:themeColor="text1"/>
        </w:rPr>
        <w:tab/>
      </w:r>
      <w:r w:rsidRPr="001145CE">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1145CE">
        <w:rPr>
          <w:color w:val="000000" w:themeColor="text1"/>
          <w:u w:color="000000" w:themeColor="text1"/>
        </w:rPr>
        <w:t>.”</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SECTION</w:t>
      </w:r>
      <w:r w:rsidRPr="001145CE">
        <w:rPr>
          <w:color w:val="000000" w:themeColor="text1"/>
          <w:u w:color="000000" w:themeColor="text1"/>
        </w:rPr>
        <w:tab/>
        <w:t>2.</w:t>
      </w:r>
      <w:r w:rsidRPr="001145CE">
        <w:rPr>
          <w:color w:val="000000" w:themeColor="text1"/>
          <w:u w:color="000000" w:themeColor="text1"/>
        </w:rPr>
        <w:tab/>
        <w:t>(A)</w:t>
      </w:r>
      <w:r w:rsidRPr="001145CE">
        <w:rPr>
          <w:color w:val="000000" w:themeColor="text1"/>
          <w:u w:color="000000" w:themeColor="text1"/>
        </w:rPr>
        <w:tab/>
        <w:t>The Director of the Department of Revenue shall determine what barriers, if any, exist in the enforcement or collection of the cigarette tax, imposed pursuant to Sections 12</w:t>
      </w:r>
      <w:r w:rsidR="0076154B">
        <w:rPr>
          <w:color w:val="000000" w:themeColor="text1"/>
          <w:u w:color="000000" w:themeColor="text1"/>
        </w:rPr>
        <w:noBreakHyphen/>
      </w:r>
      <w:r w:rsidRPr="001145CE">
        <w:rPr>
          <w:color w:val="000000" w:themeColor="text1"/>
          <w:u w:color="000000" w:themeColor="text1"/>
        </w:rPr>
        <w:t>21</w:t>
      </w:r>
      <w:r w:rsidR="0076154B">
        <w:rPr>
          <w:color w:val="000000" w:themeColor="text1"/>
          <w:u w:color="000000" w:themeColor="text1"/>
        </w:rPr>
        <w:noBreakHyphen/>
      </w:r>
      <w:r w:rsidRPr="001145CE">
        <w:rPr>
          <w:color w:val="000000" w:themeColor="text1"/>
          <w:u w:color="000000" w:themeColor="text1"/>
        </w:rPr>
        <w:t>620 and 12</w:t>
      </w:r>
      <w:r w:rsidR="0076154B">
        <w:rPr>
          <w:color w:val="000000" w:themeColor="text1"/>
          <w:u w:color="000000" w:themeColor="text1"/>
        </w:rPr>
        <w:noBreakHyphen/>
      </w:r>
      <w:r w:rsidRPr="001145CE">
        <w:rPr>
          <w:color w:val="000000" w:themeColor="text1"/>
          <w:u w:color="000000" w:themeColor="text1"/>
        </w:rPr>
        <w:t>21</w:t>
      </w:r>
      <w:r w:rsidR="0076154B">
        <w:rPr>
          <w:color w:val="000000" w:themeColor="text1"/>
          <w:u w:color="000000" w:themeColor="text1"/>
        </w:rPr>
        <w:noBreakHyphen/>
      </w:r>
      <w:r w:rsidRPr="001145CE">
        <w:rPr>
          <w:color w:val="000000" w:themeColor="text1"/>
          <w:u w:color="000000" w:themeColor="text1"/>
        </w:rPr>
        <w:t>625 of the 1976 Code, or prosecution of cigarette tax violations and make recommendations to remove these barriers, including, but not limited to, legislation.</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(B)</w:t>
      </w:r>
      <w:r w:rsidRPr="001145CE">
        <w:rPr>
          <w:color w:val="000000" w:themeColor="text1"/>
          <w:u w:color="000000" w:themeColor="text1"/>
        </w:rPr>
        <w:tab/>
        <w:t>The director shall submit a report containing its findings and recommendations to the General Assembly by January 1, 2018.</w:t>
      </w:r>
    </w:p>
    <w:p w:rsidR="0072296D" w:rsidRPr="001145CE" w:rsidRDefault="0072296D" w:rsidP="0072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669" w:rsidRDefault="00722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5CE">
        <w:rPr>
          <w:color w:val="000000" w:themeColor="text1"/>
          <w:u w:color="000000" w:themeColor="text1"/>
        </w:rPr>
        <w:t>SECTION</w:t>
      </w:r>
      <w:r w:rsidRPr="001145CE">
        <w:rPr>
          <w:color w:val="000000" w:themeColor="text1"/>
          <w:u w:color="000000" w:themeColor="text1"/>
        </w:rPr>
        <w:tab/>
        <w:t>3.</w:t>
      </w:r>
      <w:r w:rsidRPr="001145CE">
        <w:rPr>
          <w:color w:val="000000" w:themeColor="text1"/>
          <w:u w:color="000000" w:themeColor="text1"/>
        </w:rPr>
        <w:tab/>
      </w:r>
      <w:r w:rsidR="00422669">
        <w:t>This act takes effect upon approval by the Governor.</w:t>
      </w:r>
    </w:p>
    <w:p w:rsidR="00A01487" w:rsidRDefault="007615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588" w:rsidRDefault="00CA6588" w:rsidP="00CA6588">
      <w:pPr>
        <w:suppressAutoHyphens/>
      </w:pPr>
    </w:p>
    <w:sectPr w:rsidR="00CA6588" w:rsidSect="00CA65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669" w:rsidRDefault="00422669" w:rsidP="009F0C77">
      <w:r>
        <w:separator/>
      </w:r>
    </w:p>
  </w:endnote>
  <w:endnote w:type="continuationSeparator" w:id="0">
    <w:p w:rsidR="00422669" w:rsidRDefault="00422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6FBCD7-902D-4D28-A0B5-2CFE059155F5}"/>
    <w:embedBold r:id="rId2" w:fontKey="{C7756699-1A64-4FC2-88FB-886C8A445C85}"/>
  </w:font>
  <w:font w:name="Calibri">
    <w:panose1 w:val="020F0502020204030204"/>
    <w:charset w:val="00"/>
    <w:family w:val="swiss"/>
    <w:pitch w:val="variable"/>
    <w:sig w:usb0="E00002FF" w:usb1="4000ACFF" w:usb2="00000001" w:usb3="00000000" w:csb0="0000019F" w:csb1="00000000"/>
    <w:embedRegular r:id="rId3" w:fontKey="{C8AF33BF-95E5-44E3-90D3-632FC0055DD6}"/>
  </w:font>
  <w:font w:name="Cambria">
    <w:panose1 w:val="02040503050406030204"/>
    <w:charset w:val="00"/>
    <w:family w:val="roman"/>
    <w:pitch w:val="variable"/>
    <w:sig w:usb0="E00002FF" w:usb1="400004FF" w:usb2="00000000" w:usb3="00000000" w:csb0="0000019F" w:csb1="00000000"/>
    <w:embedRegular r:id="rId4" w:fontKey="{2DFA78B3-020C-41BA-86A6-EF4D1D88D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87" w:rsidRPr="00CA6588" w:rsidRDefault="00CA6588" w:rsidP="00CA658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669" w:rsidRDefault="00422669" w:rsidP="009F0C77">
      <w:r>
        <w:separator/>
      </w:r>
    </w:p>
  </w:footnote>
  <w:footnote w:type="continuationSeparator" w:id="0">
    <w:p w:rsidR="00422669" w:rsidRDefault="00422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52SA17"/>
    <w:docVar w:name="CoverBillType" w:val="b"/>
    <w:docVar w:name="DocPath" w:val="L:\Council\bills\BBM\9652SA17.DOCX"/>
    <w:docVar w:name="dvBillNumber" w:val="575"/>
    <w:docVar w:name="dvBillNumberPrefix" w:val="S. "/>
    <w:docVar w:name="dvOriginalBody" w:val="Senate"/>
    <w:docVar w:name="dvSteno" w:val="BBM"/>
    <w:docVar w:name="NameofBody" w:val="s"/>
    <w:docVar w:name="vGroup2" w:val="Council"/>
  </w:docVars>
  <w:rsids>
    <w:rsidRoot w:val="0042266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2669"/>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96D"/>
    <w:rsid w:val="00753C04"/>
    <w:rsid w:val="00756946"/>
    <w:rsid w:val="00757F80"/>
    <w:rsid w:val="0076154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148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F7"/>
    <w:rsid w:val="00C3136F"/>
    <w:rsid w:val="00C3483A"/>
    <w:rsid w:val="00C74E9D"/>
    <w:rsid w:val="00C82FD3"/>
    <w:rsid w:val="00CA658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EA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D557C-1B79-4A39-923F-8CA0FF66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2106A-CFDD-4678-8C2B-4CB3B580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389</Words>
  <Characters>1977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575 Text of Previous Version (Mar. 22, 2017) - South Carolina Legislature Online</dc:title>
  <dc:subject/>
  <dc:creator>BRENDA MELTON</dc:creator>
  <cp:keywords/>
  <dc:description/>
  <cp:lastModifiedBy>S Volk</cp:lastModifiedBy>
  <cp:revision>2</cp:revision>
  <dcterms:created xsi:type="dcterms:W3CDTF">2017-03-22T16:19:00Z</dcterms:created>
  <dcterms:modified xsi:type="dcterms:W3CDTF">2017-03-22T16:19:00Z</dcterms:modified>
</cp:coreProperties>
</file>