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230" w:rsidRDefault="00B85230" w:rsidP="00526101">
      <w:pPr>
        <w:tabs>
          <w:tab w:val="right" w:pos="5933"/>
        </w:tabs>
        <w:suppressAutoHyphens/>
        <w:jc w:val="both"/>
        <w:rPr>
          <w:rFonts w:eastAsia="Times New Roman"/>
        </w:rPr>
      </w:pPr>
      <w:r>
        <w:rPr>
          <w:rFonts w:eastAsia="Times New Roman"/>
        </w:rPr>
        <w:t>COMMITTEE AMENDMENT ADOPTED</w:t>
      </w:r>
    </w:p>
    <w:p w:rsidR="00B85230" w:rsidRDefault="00B85230" w:rsidP="00526101">
      <w:pPr>
        <w:tabs>
          <w:tab w:val="right" w:pos="5933"/>
        </w:tabs>
        <w:suppressAutoHyphens/>
        <w:jc w:val="both"/>
        <w:rPr>
          <w:rFonts w:eastAsia="Times New Roman"/>
        </w:rPr>
      </w:pPr>
      <w:r>
        <w:rPr>
          <w:rFonts w:eastAsia="Times New Roman"/>
        </w:rPr>
        <w:t>February 1, 2018</w:t>
      </w:r>
    </w:p>
    <w:p w:rsidR="00B85230" w:rsidRDefault="00B85230" w:rsidP="00526101">
      <w:pPr>
        <w:tabs>
          <w:tab w:val="right" w:pos="5933"/>
        </w:tabs>
        <w:suppressAutoHyphens/>
        <w:jc w:val="both"/>
        <w:rPr>
          <w:rFonts w:eastAsia="Times New Roman"/>
        </w:rPr>
      </w:pPr>
    </w:p>
    <w:p w:rsidR="00526101" w:rsidRPr="00526101" w:rsidRDefault="00526101" w:rsidP="00526101">
      <w:pPr>
        <w:tabs>
          <w:tab w:val="right" w:pos="5933"/>
        </w:tabs>
        <w:suppressAutoHyphens/>
        <w:jc w:val="both"/>
        <w:rPr>
          <w:rFonts w:eastAsia="Times New Roman"/>
        </w:rPr>
      </w:pPr>
      <w:r>
        <w:rPr>
          <w:rFonts w:eastAsia="Times New Roman"/>
        </w:rPr>
        <w:tab/>
      </w:r>
      <w:r>
        <w:rPr>
          <w:rFonts w:eastAsia="Times New Roman"/>
          <w:b/>
          <w:sz w:val="36"/>
        </w:rPr>
        <w:t>S. 587</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101" w:rsidRDefault="00526101" w:rsidP="0052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rsidRPr="00DC5C2F">
        <w:t>Senators Timmons, Talley, Rice, Turner and Climer</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B85230">
        <w:rPr>
          <w:rFonts w:eastAsia="Times New Roman"/>
        </w:rPr>
        <w:t>2/1</w:t>
      </w:r>
      <w:r>
        <w:rPr>
          <w:rFonts w:eastAsia="Times New Roman"/>
        </w:rPr>
        <w:t>/18--S.</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2017.</w:t>
      </w:r>
    </w:p>
    <w:p w:rsidR="00526101" w:rsidRDefault="00526101" w:rsidP="00B8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6101" w:rsidSect="0052610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615B0" w:rsidRPr="00522CE0" w:rsidRDefault="00B61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C779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95CE1" w:rsidRDefault="00F95CE1" w:rsidP="00F9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90774">
        <w:rPr>
          <w:color w:val="000000" w:themeColor="text1"/>
          <w:u w:color="000000" w:themeColor="text1"/>
        </w:rPr>
        <w:t>TO AMEND SECTION 12</w:t>
      </w:r>
      <w:r w:rsidR="009A0CB9">
        <w:rPr>
          <w:color w:val="000000" w:themeColor="text1"/>
          <w:u w:color="000000" w:themeColor="text1"/>
        </w:rPr>
        <w:noBreakHyphen/>
      </w:r>
      <w:r w:rsidRPr="00E90774">
        <w:rPr>
          <w:color w:val="000000" w:themeColor="text1"/>
          <w:u w:color="000000" w:themeColor="text1"/>
        </w:rPr>
        <w:t>43</w:t>
      </w:r>
      <w:r w:rsidR="009A0CB9">
        <w:rPr>
          <w:color w:val="000000" w:themeColor="text1"/>
          <w:u w:color="000000" w:themeColor="text1"/>
        </w:rPr>
        <w:noBreakHyphen/>
      </w:r>
      <w:r w:rsidRPr="00E90774">
        <w:rPr>
          <w:color w:val="000000" w:themeColor="text1"/>
          <w:u w:color="000000" w:themeColor="text1"/>
        </w:rPr>
        <w:t>220</w:t>
      </w:r>
      <w:r w:rsidR="00315915">
        <w:rPr>
          <w:color w:val="000000" w:themeColor="text1"/>
          <w:u w:color="000000" w:themeColor="text1"/>
        </w:rPr>
        <w:t>(c)</w:t>
      </w:r>
      <w:r>
        <w:rPr>
          <w:color w:val="000000" w:themeColor="text1"/>
          <w:u w:color="000000" w:themeColor="text1"/>
        </w:rPr>
        <w:t xml:space="preserve"> OF THE 1976 CODE,</w:t>
      </w:r>
      <w:r w:rsidRPr="00E90774">
        <w:rPr>
          <w:color w:val="000000" w:themeColor="text1"/>
          <w:u w:color="000000" w:themeColor="text1"/>
        </w:rPr>
        <w:t xml:space="preserve"> RELATING TO ASSESSMENT RATIOS, </w:t>
      </w:r>
      <w:r>
        <w:rPr>
          <w:color w:val="000000" w:themeColor="text1"/>
          <w:u w:color="000000" w:themeColor="text1"/>
        </w:rPr>
        <w:t>TO PROVIDE</w:t>
      </w:r>
      <w:r w:rsidRPr="00E90774">
        <w:rPr>
          <w:color w:val="000000" w:themeColor="text1"/>
          <w:u w:color="000000" w:themeColor="text1"/>
        </w:rPr>
        <w:t xml:space="preserve"> THAT</w:t>
      </w:r>
      <w:r w:rsidR="00AD21E5">
        <w:rPr>
          <w:color w:val="000000" w:themeColor="text1"/>
          <w:u w:color="000000" w:themeColor="text1"/>
        </w:rPr>
        <w:t>,</w:t>
      </w:r>
      <w:r w:rsidRPr="00E90774">
        <w:rPr>
          <w:color w:val="000000" w:themeColor="text1"/>
          <w:u w:color="000000" w:themeColor="text1"/>
        </w:rPr>
        <w:t xml:space="preserve"> WHEN AN OWNER RECEIVING THE FOUR PERCENT ASSESSMENT RATIO DIES, THE PROPERTY SHALL CONTINUE TO RECEIVE THE SPECIAL ASSESSMENT RATE UNTIL THE DECE</w:t>
      </w:r>
      <w:r>
        <w:rPr>
          <w:color w:val="000000" w:themeColor="text1"/>
          <w:u w:color="000000" w:themeColor="text1"/>
        </w:rPr>
        <w:t>DENT’S</w:t>
      </w:r>
      <w:r w:rsidRPr="00E90774">
        <w:rPr>
          <w:color w:val="000000" w:themeColor="text1"/>
          <w:u w:color="000000" w:themeColor="text1"/>
        </w:rPr>
        <w:t xml:space="preserve"> ESTATE IS CLOSED, SO LONG AS THE PROPERTY IS NOT RENTED.</w:t>
      </w:r>
      <w:bookmarkEnd w:id="1"/>
    </w:p>
    <w:p w:rsidR="00522CE0" w:rsidRDefault="00B852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85230" w:rsidRDefault="00B852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7791" w:rsidRDefault="002C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7791" w:rsidRDefault="002C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230" w:rsidRPr="00703771" w:rsidRDefault="00B85230" w:rsidP="00B8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771">
        <w:rPr>
          <w:rFonts w:eastAsia="Times New Roman"/>
        </w:rPr>
        <w:t>SECTION</w:t>
      </w:r>
      <w:r w:rsidRPr="00703771">
        <w:rPr>
          <w:rFonts w:eastAsia="Times New Roman"/>
        </w:rPr>
        <w:tab/>
        <w:t>1.</w:t>
      </w:r>
      <w:r w:rsidRPr="00703771">
        <w:rPr>
          <w:rFonts w:eastAsia="Times New Roman"/>
        </w:rPr>
        <w:tab/>
      </w:r>
      <w:r w:rsidRPr="00703771">
        <w:rPr>
          <w:color w:val="000000" w:themeColor="text1"/>
          <w:u w:color="000000" w:themeColor="text1"/>
        </w:rPr>
        <w:t>Section 12</w:t>
      </w:r>
      <w:r>
        <w:rPr>
          <w:color w:val="000000" w:themeColor="text1"/>
          <w:u w:color="000000" w:themeColor="text1"/>
        </w:rPr>
        <w:noBreakHyphen/>
      </w:r>
      <w:r w:rsidRPr="00703771">
        <w:rPr>
          <w:color w:val="000000" w:themeColor="text1"/>
          <w:u w:color="000000" w:themeColor="text1"/>
        </w:rPr>
        <w:t>43</w:t>
      </w:r>
      <w:r>
        <w:rPr>
          <w:color w:val="000000" w:themeColor="text1"/>
          <w:u w:color="000000" w:themeColor="text1"/>
        </w:rPr>
        <w:noBreakHyphen/>
      </w:r>
      <w:r w:rsidRPr="00703771">
        <w:rPr>
          <w:color w:val="000000" w:themeColor="text1"/>
          <w:u w:color="000000" w:themeColor="text1"/>
        </w:rPr>
        <w:t>220(c) of the 1976 Code, as last amended by Act 251 of 2016, is further amended by adding an appropriately numbered subitem at the end to read:</w:t>
      </w:r>
    </w:p>
    <w:p w:rsidR="00B85230" w:rsidRPr="00703771" w:rsidRDefault="00B85230" w:rsidP="00B8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5230" w:rsidRDefault="00B85230" w:rsidP="00B8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771">
        <w:rPr>
          <w:color w:val="000000" w:themeColor="text1"/>
          <w:u w:color="000000" w:themeColor="text1"/>
        </w:rPr>
        <w:tab/>
        <w:t>“(</w:t>
      </w:r>
      <w:r>
        <w:rPr>
          <w:color w:val="000000" w:themeColor="text1"/>
          <w:u w:color="000000" w:themeColor="text1"/>
        </w:rPr>
        <w:t xml:space="preserve">  </w:t>
      </w:r>
      <w:r w:rsidRPr="00703771">
        <w:rPr>
          <w:color w:val="000000" w:themeColor="text1"/>
          <w:u w:color="000000" w:themeColor="text1"/>
        </w:rPr>
        <w:t>)</w:t>
      </w:r>
      <w:r w:rsidRPr="00703771">
        <w:rPr>
          <w:color w:val="000000" w:themeColor="text1"/>
          <w:u w:color="000000" w:themeColor="text1"/>
        </w:rPr>
        <w:tab/>
        <w:t>Notwithstanding any other provision of law, when an owner receiving the special assessment rate pursuant to item (c) dies, the property shall continue to receive the special assessment rate until the decedent</w:t>
      </w:r>
      <w:r w:rsidRPr="00727AF5">
        <w:rPr>
          <w:color w:val="000000" w:themeColor="text1"/>
          <w:u w:color="000000" w:themeColor="text1"/>
        </w:rPr>
        <w:t>’</w:t>
      </w:r>
      <w:r w:rsidRPr="00703771">
        <w:rPr>
          <w:color w:val="000000" w:themeColor="text1"/>
          <w:u w:color="000000" w:themeColor="text1"/>
        </w:rPr>
        <w:t>s estate is closed</w:t>
      </w:r>
      <w:r>
        <w:rPr>
          <w:color w:val="000000" w:themeColor="text1"/>
          <w:u w:color="000000" w:themeColor="text1"/>
        </w:rPr>
        <w:t>,</w:t>
      </w:r>
      <w:r w:rsidRPr="00703771">
        <w:rPr>
          <w:color w:val="000000" w:themeColor="text1"/>
          <w:u w:color="000000" w:themeColor="text1"/>
        </w:rPr>
        <w:t xml:space="preserve"> upon</w:t>
      </w:r>
      <w:r>
        <w:rPr>
          <w:color w:val="000000" w:themeColor="text1"/>
          <w:u w:color="000000" w:themeColor="text1"/>
        </w:rPr>
        <w:t xml:space="preserve"> the</w:t>
      </w:r>
      <w:r w:rsidRPr="00703771">
        <w:rPr>
          <w:color w:val="000000" w:themeColor="text1"/>
          <w:u w:color="000000" w:themeColor="text1"/>
        </w:rPr>
        <w:t xml:space="preserve"> recording of a deed or deed of distribution out of the estate,</w:t>
      </w:r>
      <w:r>
        <w:rPr>
          <w:color w:val="000000" w:themeColor="text1"/>
          <w:u w:color="000000" w:themeColor="text1"/>
        </w:rPr>
        <w:t xml:space="preserve"> or after December thirty</w:t>
      </w:r>
      <w:r>
        <w:rPr>
          <w:color w:val="000000" w:themeColor="text1"/>
          <w:u w:color="000000" w:themeColor="text1"/>
        </w:rPr>
        <w:noBreakHyphen/>
        <w:t>first of the year following the date of death,</w:t>
      </w:r>
      <w:r w:rsidRPr="00703771">
        <w:rPr>
          <w:color w:val="000000" w:themeColor="text1"/>
          <w:u w:color="000000" w:themeColor="text1"/>
        </w:rPr>
        <w:t xml:space="preserve"> whichever occurs first. This subitem does not apply if the property is rented for more than seventy</w:t>
      </w:r>
      <w:r>
        <w:rPr>
          <w:color w:val="000000" w:themeColor="text1"/>
          <w:u w:color="000000" w:themeColor="text1"/>
        </w:rPr>
        <w:noBreakHyphen/>
      </w:r>
      <w:r w:rsidRPr="00703771">
        <w:rPr>
          <w:color w:val="000000" w:themeColor="text1"/>
          <w:u w:color="000000" w:themeColor="text1"/>
        </w:rPr>
        <w:t>two days in or following the calendar year of the decedent</w:t>
      </w:r>
      <w:r w:rsidRPr="00727AF5">
        <w:rPr>
          <w:color w:val="000000" w:themeColor="text1"/>
          <w:u w:color="000000" w:themeColor="text1"/>
        </w:rPr>
        <w:t>’</w:t>
      </w:r>
      <w:r w:rsidRPr="00703771">
        <w:rPr>
          <w:color w:val="000000" w:themeColor="text1"/>
          <w:u w:color="000000" w:themeColor="text1"/>
        </w:rPr>
        <w:t>s death or if a change of use occurs.”</w:t>
      </w:r>
    </w:p>
    <w:p w:rsidR="00B85230" w:rsidRDefault="00B85230" w:rsidP="00B8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7791" w:rsidRPr="00522CE0" w:rsidRDefault="00B85230" w:rsidP="00B8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 and applies to property tax years beginning after 2017.</w:t>
      </w:r>
    </w:p>
    <w:p w:rsidR="00705C8F" w:rsidRDefault="009A0CB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2843" w:rsidRDefault="00302843" w:rsidP="00302843">
      <w:pPr>
        <w:suppressAutoHyphens/>
        <w:jc w:val="both"/>
        <w:rPr>
          <w:rFonts w:eastAsia="Times New Roman"/>
        </w:rPr>
      </w:pPr>
    </w:p>
    <w:sectPr w:rsidR="00302843" w:rsidSect="0052610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791" w:rsidRDefault="002C7791" w:rsidP="00522CE0">
      <w:r>
        <w:separator/>
      </w:r>
    </w:p>
  </w:endnote>
  <w:endnote w:type="continuationSeparator" w:id="0">
    <w:p w:rsidR="002C7791" w:rsidRDefault="002C77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451B5B-B025-48C9-8C31-8812B3C3EA20}"/>
    <w:embedBold r:id="rId2" w:fontKey="{EFFE93D1-203F-4FD5-A5DD-CF5E5936D538}"/>
  </w:font>
  <w:font w:name="Calibri">
    <w:panose1 w:val="020F0502020204030204"/>
    <w:charset w:val="00"/>
    <w:family w:val="swiss"/>
    <w:pitch w:val="variable"/>
    <w:sig w:usb0="E00002FF" w:usb1="4000ACFF" w:usb2="00000001" w:usb3="00000000" w:csb0="0000019F" w:csb1="00000000"/>
    <w:embedRegular r:id="rId3" w:fontKey="{217CBDCE-B571-4ED5-9D55-96B3FAF91BD0}"/>
  </w:font>
  <w:font w:name="Segoe UI">
    <w:panose1 w:val="020B0502040204020203"/>
    <w:charset w:val="00"/>
    <w:family w:val="swiss"/>
    <w:pitch w:val="variable"/>
    <w:sig w:usb0="E10022FF" w:usb1="C000E47F" w:usb2="00000029" w:usb3="00000000" w:csb0="000001DF" w:csb1="00000000"/>
    <w:embedRegular r:id="rId4" w:fontKey="{952CE0A9-DFD0-4224-B85B-D5979AE488F2}"/>
  </w:font>
  <w:font w:name="Cambria">
    <w:panose1 w:val="02040503050406030204"/>
    <w:charset w:val="00"/>
    <w:family w:val="roman"/>
    <w:pitch w:val="variable"/>
    <w:sig w:usb0="E00002FF" w:usb1="400004FF" w:usb2="00000000" w:usb3="00000000" w:csb0="0000019F" w:csb1="00000000"/>
    <w:embedRegular r:id="rId5" w:fontKey="{77701C5E-DE47-48FA-B679-4387D92E4A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C8F" w:rsidRPr="00B615B0" w:rsidRDefault="00B615B0" w:rsidP="00B615B0">
    <w:pPr>
      <w:pStyle w:val="Footer"/>
      <w:tabs>
        <w:tab w:val="clear" w:pos="4680"/>
        <w:tab w:val="clear" w:pos="9360"/>
        <w:tab w:val="center" w:pos="2995"/>
      </w:tabs>
      <w:spacing w:before="120"/>
    </w:pPr>
    <w:r>
      <w:t>[587</w:t>
    </w:r>
    <w:r w:rsidR="00526101">
      <w:t>-</w:t>
    </w:r>
    <w:r w:rsidR="00526101">
      <w:fldChar w:fldCharType="begin"/>
    </w:r>
    <w:r w:rsidR="00526101">
      <w:instrText xml:space="preserve"> PAGE  \* MERGEFORMAT </w:instrText>
    </w:r>
    <w:r w:rsidR="00526101">
      <w:fldChar w:fldCharType="separate"/>
    </w:r>
    <w:r w:rsidR="00302843">
      <w:rPr>
        <w:noProof/>
      </w:rPr>
      <w:t>1</w:t>
    </w:r>
    <w:r w:rsidR="00526101">
      <w:fldChar w:fldCharType="end"/>
    </w:r>
    <w:r w:rsidR="005261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101" w:rsidRPr="00B615B0" w:rsidRDefault="00526101" w:rsidP="00B615B0">
    <w:pPr>
      <w:pStyle w:val="Footer"/>
      <w:tabs>
        <w:tab w:val="clear" w:pos="4680"/>
        <w:tab w:val="clear" w:pos="9360"/>
        <w:tab w:val="center" w:pos="2995"/>
      </w:tabs>
      <w:spacing w:before="120"/>
    </w:pPr>
    <w:r>
      <w:t>[587]</w:t>
    </w:r>
    <w:r>
      <w:tab/>
    </w:r>
    <w:r>
      <w:fldChar w:fldCharType="begin"/>
    </w:r>
    <w:r>
      <w:instrText xml:space="preserve"> PAGE  \* MERGEFORMAT </w:instrText>
    </w:r>
    <w:r>
      <w:fldChar w:fldCharType="separate"/>
    </w:r>
    <w:r w:rsidR="003028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791" w:rsidRDefault="002C7791" w:rsidP="00522CE0">
      <w:r>
        <w:separator/>
      </w:r>
    </w:p>
  </w:footnote>
  <w:footnote w:type="continuationSeparator" w:id="0">
    <w:p w:rsidR="002C7791" w:rsidRDefault="002C77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SSE.SP.WRT"/>
    <w:docVar w:name="CoverAttorneyInitials" w:val="SP"/>
    <w:docVar w:name="CoverAttorneyLastName" w:val="Parrish"/>
    <w:docVar w:name="CoverBillType" w:val="b"/>
    <w:docVar w:name="CoverSenator" w:val="WRT"/>
    <w:docVar w:name="dvBillNumber" w:val="587"/>
    <w:docVar w:name="dvBillNumberPrefix" w:val="S. "/>
    <w:docVar w:name="dvOriginalBody" w:val="Senate"/>
    <w:docVar w:name="fulldraftpath" w:val="L:\S-RES\WRT\002ASSE.SP.WRT.DOCX"/>
    <w:docVar w:name="NameofBody" w:val="S"/>
    <w:docVar w:name="vgroup2" w:val="S-RES"/>
  </w:docVars>
  <w:rsids>
    <w:rsidRoot w:val="002C7791"/>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974DA"/>
    <w:rsid w:val="002C1321"/>
    <w:rsid w:val="002C2031"/>
    <w:rsid w:val="002C3941"/>
    <w:rsid w:val="002C5896"/>
    <w:rsid w:val="002C7791"/>
    <w:rsid w:val="002D3BED"/>
    <w:rsid w:val="00302843"/>
    <w:rsid w:val="00307C2B"/>
    <w:rsid w:val="00315915"/>
    <w:rsid w:val="00315D04"/>
    <w:rsid w:val="00346567"/>
    <w:rsid w:val="00383247"/>
    <w:rsid w:val="003D6E2B"/>
    <w:rsid w:val="003E7597"/>
    <w:rsid w:val="00413EBF"/>
    <w:rsid w:val="0044020F"/>
    <w:rsid w:val="00450668"/>
    <w:rsid w:val="00454138"/>
    <w:rsid w:val="004649F5"/>
    <w:rsid w:val="004813A2"/>
    <w:rsid w:val="004952FA"/>
    <w:rsid w:val="004B6A22"/>
    <w:rsid w:val="004D7F37"/>
    <w:rsid w:val="00522CE0"/>
    <w:rsid w:val="00526101"/>
    <w:rsid w:val="00541951"/>
    <w:rsid w:val="00565148"/>
    <w:rsid w:val="00570403"/>
    <w:rsid w:val="00593361"/>
    <w:rsid w:val="005A413B"/>
    <w:rsid w:val="005A5017"/>
    <w:rsid w:val="005A648C"/>
    <w:rsid w:val="005F07AC"/>
    <w:rsid w:val="005F1745"/>
    <w:rsid w:val="006A1802"/>
    <w:rsid w:val="006C0CBB"/>
    <w:rsid w:val="006C74EA"/>
    <w:rsid w:val="00705C8F"/>
    <w:rsid w:val="00720D40"/>
    <w:rsid w:val="007318D4"/>
    <w:rsid w:val="0073379D"/>
    <w:rsid w:val="00746C7A"/>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0CB9"/>
    <w:rsid w:val="009C118A"/>
    <w:rsid w:val="00A02011"/>
    <w:rsid w:val="00A4011E"/>
    <w:rsid w:val="00A86015"/>
    <w:rsid w:val="00A9594E"/>
    <w:rsid w:val="00AC5368"/>
    <w:rsid w:val="00AD21E5"/>
    <w:rsid w:val="00AE59C8"/>
    <w:rsid w:val="00B10098"/>
    <w:rsid w:val="00B5790D"/>
    <w:rsid w:val="00B615B0"/>
    <w:rsid w:val="00B85230"/>
    <w:rsid w:val="00B945C5"/>
    <w:rsid w:val="00BA20EA"/>
    <w:rsid w:val="00BB5AFC"/>
    <w:rsid w:val="00BC0A56"/>
    <w:rsid w:val="00BF245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0CBA"/>
    <w:rsid w:val="00DB6223"/>
    <w:rsid w:val="00DE5635"/>
    <w:rsid w:val="00E058D3"/>
    <w:rsid w:val="00E12CA0"/>
    <w:rsid w:val="00E2236D"/>
    <w:rsid w:val="00E76AD9"/>
    <w:rsid w:val="00E91E2F"/>
    <w:rsid w:val="00EA3546"/>
    <w:rsid w:val="00EB47AE"/>
    <w:rsid w:val="00EC34E1"/>
    <w:rsid w:val="00F0234A"/>
    <w:rsid w:val="00F05CF2"/>
    <w:rsid w:val="00F0673D"/>
    <w:rsid w:val="00F51241"/>
    <w:rsid w:val="00F52959"/>
    <w:rsid w:val="00F55884"/>
    <w:rsid w:val="00F94AB1"/>
    <w:rsid w:val="00F95CE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4BE78E6-9EAB-4122-8790-46F538F3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26101"/>
    <w:rPr>
      <w:rFonts w:cstheme="minorBidi"/>
      <w:sz w:val="24"/>
    </w:rPr>
  </w:style>
  <w:style w:type="paragraph" w:styleId="BalloonText">
    <w:name w:val="Balloon Text"/>
    <w:basedOn w:val="Normal"/>
    <w:link w:val="BalloonTextChar"/>
    <w:uiPriority w:val="99"/>
    <w:semiHidden/>
    <w:unhideWhenUsed/>
    <w:rsid w:val="00746C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C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98B9A9D7.dotm</Template>
  <TotalTime>0</TotalTime>
  <Pages>2</Pages>
  <Words>246</Words>
  <Characters>1210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2017-2018 Bill 587 Text of Previous Version (Mar. 29, 2017) - South Carolina Legislature Online</vt:lpstr>
    </vt:vector>
  </TitlesOfParts>
  <Company> </Company>
  <LinksUpToDate>false</LinksUpToDate>
  <CharactersWithSpaces>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587 Text of Previous Version (Feb. 1, 2018) - South Carolina Legislature Online</dc:title>
  <dc:subject/>
  <dc:creator>%USERNAME%</dc:creator>
  <cp:keywords/>
  <dc:description/>
  <cp:lastModifiedBy>Brent Walling</cp:lastModifiedBy>
  <cp:revision>2</cp:revision>
  <cp:lastPrinted>2018-02-01T16:48:00Z</cp:lastPrinted>
  <dcterms:created xsi:type="dcterms:W3CDTF">2018-02-01T16:55:00Z</dcterms:created>
  <dcterms:modified xsi:type="dcterms:W3CDTF">2018-02-01T16:55:00Z</dcterms:modified>
</cp:coreProperties>
</file>