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3A5A" w:rsidRP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D97A70"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97A70" w:rsidRDefault="00D97A70"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D97A70" w:rsidRDefault="00D97A70"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777431" w:rsidRDefault="00777431" w:rsidP="00777431">
      <w:pPr>
        <w:tabs>
          <w:tab w:val="right" w:pos="5933"/>
        </w:tabs>
        <w:suppressAutoHyphens/>
      </w:pPr>
      <w:r>
        <w:tab/>
      </w:r>
      <w:r>
        <w:rPr>
          <w:b/>
          <w:sz w:val="36"/>
        </w:rPr>
        <w:t>S. 58</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 Matthews, Hutto, Johnson, Malloy and M.B. Matthews</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C450DB">
      <w:pPr>
        <w:tabs>
          <w:tab w:val="right" w:pos="5933"/>
        </w:tabs>
        <w:suppressAutoHyphens/>
      </w:pPr>
      <w:r>
        <w:t>S. Printed 1/</w:t>
      </w:r>
      <w:r w:rsidR="002054BC">
        <w:t>26</w:t>
      </w:r>
      <w:r>
        <w:t>/17--S.</w:t>
      </w:r>
    </w:p>
    <w:p w:rsidR="00777431"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777431">
        <w:t>, 2017.</w:t>
      </w: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707B"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707B" w:rsidSect="00777431">
          <w:footerReference w:type="default" r:id="rId7"/>
          <w:pgSz w:w="12240" w:h="15840" w:code="1"/>
          <w:pgMar w:top="1008" w:right="4680" w:bottom="3499" w:left="1627" w:header="720" w:footer="3499" w:gutter="0"/>
          <w:lnNumType w:countBy="1" w:distance="173"/>
          <w:pgNumType w:start="1"/>
          <w:cols w:space="720"/>
          <w:noEndnote/>
          <w:docGrid w:linePitch="360"/>
        </w:sectPr>
      </w:pPr>
      <w:r w:rsidRPr="00E24056">
        <w:t>.</w:t>
      </w:r>
    </w:p>
    <w:p w:rsidR="00605C85" w:rsidRDefault="00605C85"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sidR="00C15511">
        <w:rPr>
          <w:color w:val="000000" w:themeColor="text1"/>
          <w:u w:color="000000" w:themeColor="text1"/>
        </w:rPr>
        <w:t xml:space="preserve">NEW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AS AMENDED,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E54963">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bookmarkEnd w:id="1"/>
    </w:p>
    <w:p w:rsidR="0010776B" w:rsidRDefault="00D97A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97A70" w:rsidRDefault="00D97A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04" w:rsidRPr="00746C9F" w:rsidRDefault="00553986"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7B04" w:rsidRPr="00746C9F">
        <w:rPr>
          <w:color w:val="000000" w:themeColor="text1"/>
          <w:u w:color="000000" w:themeColor="text1"/>
        </w:rPr>
        <w:t>This act may be cited as the “Port Enhancement Zone Act”.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3360(E)(1)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sidR="00C15511">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E54963">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sidR="00B17043">
        <w:rPr>
          <w:color w:val="000000" w:themeColor="text1"/>
          <w:u w:color="000000" w:themeColor="text1"/>
        </w:rPr>
        <w:t xml:space="preserve"> </w:t>
      </w:r>
      <w:r w:rsidRPr="00746C9F">
        <w:rPr>
          <w:color w:val="000000" w:themeColor="text1"/>
          <w:u w:color="000000" w:themeColor="text1"/>
        </w:rPr>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 last amended by Act 256 of 2016,</w:t>
      </w:r>
      <w:r w:rsidRPr="00746C9F">
        <w:rPr>
          <w:color w:val="000000" w:themeColor="text1"/>
          <w:u w:color="000000" w:themeColor="text1"/>
        </w:rPr>
        <w:t xml:space="preserve"> 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D97A70"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t xml:space="preserve">‘Port enhancement zone’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E54963" w:rsidRPr="00E54963">
        <w:rPr>
          <w:color w:val="000000" w:themeColor="text1"/>
          <w:u w:color="000000" w:themeColor="text1"/>
        </w:rPr>
        <w:t>’</w:t>
      </w:r>
      <w:r w:rsidRPr="00746C9F">
        <w:rPr>
          <w:color w:val="000000" w:themeColor="text1"/>
          <w:u w:color="000000" w:themeColor="text1"/>
        </w:rPr>
        <w:t>s American Community Survey in 2014;</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E54963">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 xml:space="preserve">all of the area is in a county ranked as either Tier III or IV, provided that a census tract in a Tier I or II county with at least </w:t>
      </w:r>
      <w:r w:rsidRPr="00746C9F">
        <w:rPr>
          <w:color w:val="000000" w:themeColor="text1"/>
          <w:u w:color="000000" w:themeColor="text1"/>
        </w:rPr>
        <w:lastRenderedPageBreak/>
        <w:t>thirty</w:t>
      </w:r>
      <w:r w:rsidR="00E54963">
        <w:rPr>
          <w:color w:val="000000" w:themeColor="text1"/>
          <w:u w:color="000000" w:themeColor="text1"/>
        </w:rPr>
        <w:noBreakHyphen/>
      </w:r>
      <w:r w:rsidRPr="00746C9F">
        <w:rPr>
          <w:color w:val="000000" w:themeColor="text1"/>
          <w:u w:color="000000" w:themeColor="text1"/>
        </w:rPr>
        <w:t>five percent of households with incomes of fifteen thousand or less also qualifies if it meets all of the other conditions of this subsection.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E54963">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3367(A) and (B) of the 1976 Code are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E54963">
        <w:rPr>
          <w:color w:val="000000" w:themeColor="text1"/>
          <w:u w:color="000000" w:themeColor="text1"/>
        </w:rPr>
        <w:noBreakHyphen/>
      </w:r>
      <w:r w:rsidRPr="00746C9F">
        <w:rPr>
          <w:color w:val="000000" w:themeColor="text1"/>
          <w:u w:color="000000" w:themeColor="text1"/>
        </w:rPr>
        <w:t>time new jobs,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at a facility of a type identified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sidR="00C15511">
        <w:rPr>
          <w:color w:val="000000" w:themeColor="text1"/>
          <w:u w:val="single" w:color="000000" w:themeColor="text1"/>
        </w:rPr>
        <w:t xml:space="preserve"> new </w:t>
      </w:r>
      <w:r w:rsidRPr="00746C9F">
        <w:rPr>
          <w:color w:val="000000" w:themeColor="text1"/>
          <w:u w:val="single" w:color="000000" w:themeColor="text1"/>
        </w:rPr>
        <w:t>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sidR="00C15511">
        <w:rPr>
          <w:color w:val="000000" w:themeColor="text1"/>
          <w:u w:val="single" w:color="000000" w:themeColor="text1"/>
        </w:rPr>
        <w:t xml:space="preserve">new </w:t>
      </w:r>
      <w:r w:rsidRPr="00746C9F">
        <w:rPr>
          <w:color w:val="000000" w:themeColor="text1"/>
          <w:u w:val="single" w:color="000000" w:themeColor="text1"/>
        </w:rPr>
        <w:t>full</w:t>
      </w:r>
      <w:r w:rsidR="00E54963">
        <w:rPr>
          <w:color w:val="000000" w:themeColor="text1"/>
          <w:u w:val="single" w:color="000000" w:themeColor="text1"/>
        </w:rPr>
        <w:noBreakHyphen/>
      </w:r>
      <w:r w:rsidR="00C15511">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w:t>
      </w:r>
      <w:r w:rsidRPr="00746C9F">
        <w:rPr>
          <w:color w:val="000000" w:themeColor="text1"/>
          <w:u w:color="000000" w:themeColor="text1"/>
        </w:rPr>
        <w:lastRenderedPageBreak/>
        <w:t>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sidR="00C15511">
        <w:rPr>
          <w:color w:val="000000" w:themeColor="text1"/>
          <w:u w:val="single" w:color="000000" w:themeColor="text1"/>
        </w:rPr>
        <w:t xml:space="preserve"> new</w:t>
      </w:r>
      <w:r w:rsidRPr="00746C9F">
        <w:rPr>
          <w:color w:val="000000" w:themeColor="text1"/>
          <w:u w:val="single" w:color="000000" w:themeColor="text1"/>
        </w:rPr>
        <w:t xml:space="preserve">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E54963">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of the 1976 Code, as last amended by Act 81 of 2013, is further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and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E54963"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E54963"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E54963"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E54963">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TEU</w:t>
      </w:r>
      <w:r w:rsidR="00E54963" w:rsidRPr="00E54963">
        <w:rPr>
          <w:color w:val="000000" w:themeColor="text1"/>
          <w:u w:color="000000" w:themeColor="text1"/>
        </w:rPr>
        <w:t>’</w:t>
      </w:r>
      <w:r w:rsidRPr="00746C9F">
        <w:rPr>
          <w:color w:val="000000" w:themeColor="text1"/>
          <w:u w:color="000000" w:themeColor="text1"/>
        </w:rPr>
        <w:t xml:space="preserve"> means a twenty</w:t>
      </w:r>
      <w:r w:rsidR="00E54963">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E54963" w:rsidRPr="00E54963">
        <w:rPr>
          <w:color w:val="000000" w:themeColor="text1"/>
          <w:u w:color="000000" w:themeColor="text1"/>
        </w:rPr>
        <w:t>‘</w:t>
      </w:r>
      <w:r w:rsidRPr="00746C9F">
        <w:rPr>
          <w:color w:val="000000" w:themeColor="text1"/>
          <w:u w:color="000000" w:themeColor="text1"/>
        </w:rPr>
        <w:t>weighted TEU</w:t>
      </w:r>
      <w:r w:rsidR="00E54963" w:rsidRPr="00E54963">
        <w:rPr>
          <w:color w:val="000000" w:themeColor="text1"/>
          <w:u w:color="000000" w:themeColor="text1"/>
        </w:rPr>
        <w:t>’</w:t>
      </w:r>
      <w:r w:rsidRPr="00746C9F">
        <w:rPr>
          <w:color w:val="000000" w:themeColor="text1"/>
          <w:u w:color="000000" w:themeColor="text1"/>
        </w:rPr>
        <w:t xml:space="preserve"> is equal to seven and one</w:t>
      </w:r>
      <w:r w:rsidR="00E54963">
        <w:rPr>
          <w:color w:val="000000" w:themeColor="text1"/>
          <w:u w:color="000000" w:themeColor="text1"/>
        </w:rPr>
        <w:noBreakHyphen/>
      </w:r>
      <w:r w:rsidRPr="00746C9F">
        <w:rPr>
          <w:color w:val="000000" w:themeColor="text1"/>
          <w:u w:color="000000" w:themeColor="text1"/>
        </w:rPr>
        <w:t xml:space="preserve">half tons.  A </w:t>
      </w:r>
      <w:r w:rsidR="00E54963" w:rsidRPr="00E54963">
        <w:rPr>
          <w:color w:val="000000" w:themeColor="text1"/>
          <w:u w:color="000000" w:themeColor="text1"/>
        </w:rPr>
        <w:t>‘</w:t>
      </w:r>
      <w:r w:rsidRPr="00746C9F">
        <w:rPr>
          <w:color w:val="000000" w:themeColor="text1"/>
          <w:u w:color="000000" w:themeColor="text1"/>
        </w:rPr>
        <w:t>measured TEU</w:t>
      </w:r>
      <w:r w:rsidR="00E54963" w:rsidRPr="00E54963">
        <w:rPr>
          <w:color w:val="000000" w:themeColor="text1"/>
          <w:u w:color="000000" w:themeColor="text1"/>
        </w:rPr>
        <w:t>’</w:t>
      </w:r>
      <w:r w:rsidRPr="00746C9F">
        <w:rPr>
          <w:color w:val="000000" w:themeColor="text1"/>
          <w:u w:color="000000" w:themeColor="text1"/>
        </w:rPr>
        <w:t xml:space="preserve"> is equal to thirty</w:t>
      </w:r>
      <w:r w:rsidR="00E54963">
        <w:rPr>
          <w:color w:val="000000" w:themeColor="text1"/>
          <w:u w:color="000000" w:themeColor="text1"/>
        </w:rPr>
        <w:noBreakHyphen/>
      </w:r>
      <w:r w:rsidRPr="00746C9F">
        <w:rPr>
          <w:color w:val="000000" w:themeColor="text1"/>
          <w:u w:color="000000" w:themeColor="text1"/>
        </w:rPr>
        <w:t>eight and one</w:t>
      </w:r>
      <w:r w:rsidR="00E54963">
        <w:rPr>
          <w:color w:val="000000" w:themeColor="text1"/>
          <w:u w:color="000000" w:themeColor="text1"/>
        </w:rPr>
        <w:noBreakHyphen/>
      </w:r>
      <w:r w:rsidRPr="00746C9F">
        <w:rPr>
          <w:color w:val="000000" w:themeColor="text1"/>
          <w:u w:color="000000" w:themeColor="text1"/>
        </w:rPr>
        <w:t>half cubic meters.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Base year port cargo volume</w:t>
      </w:r>
      <w:r w:rsidR="00E54963"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measured equivalent of non</w:t>
      </w:r>
      <w:r w:rsidR="00E54963">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E54963">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E54963">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E54963">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E54963">
        <w:rPr>
          <w:color w:val="000000" w:themeColor="text1"/>
          <w:u w:color="000000" w:themeColor="text1"/>
        </w:rPr>
        <w:noBreakHyphen/>
      </w:r>
      <w:r w:rsidRPr="00746C9F">
        <w:rPr>
          <w:color w:val="000000" w:themeColor="text1"/>
          <w:u w:color="000000" w:themeColor="text1"/>
        </w:rPr>
        <w:t>first calendar year in which it meets the requirements of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facility</w:t>
      </w:r>
      <w:r w:rsidR="00E54963"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E54963" w:rsidRPr="00E54963">
        <w:rPr>
          <w:color w:val="000000" w:themeColor="text1"/>
          <w:u w:color="000000" w:themeColor="text1"/>
        </w:rPr>
        <w:t>’</w:t>
      </w:r>
      <w:r w:rsidRPr="00746C9F">
        <w:rPr>
          <w:color w:val="000000" w:themeColor="text1"/>
          <w:u w:color="000000" w:themeColor="text1"/>
        </w:rPr>
        <w:t>s owner.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(4)</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cargo volume</w:t>
      </w:r>
      <w:r w:rsidR="00E54963"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or containers measured in twenty</w:t>
      </w:r>
      <w:r w:rsidR="00E54963">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E54963">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E54963"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E54963">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E54963"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E54963" w:rsidRPr="00E54963">
        <w:rPr>
          <w:color w:val="000000" w:themeColor="text1"/>
          <w:u w:color="000000" w:themeColor="text1"/>
        </w:rPr>
        <w:t>’</w:t>
      </w:r>
      <w:r w:rsidRPr="00746C9F">
        <w:rPr>
          <w:color w:val="000000" w:themeColor="text1"/>
          <w:u w:color="000000" w:themeColor="text1"/>
        </w:rPr>
        <w:t xml:space="preserve">s port facilities may be eligible for the port volume tax credit if the cargo supports a presence in the </w:t>
      </w:r>
      <w:r w:rsidRPr="00746C9F">
        <w:rPr>
          <w:color w:val="000000" w:themeColor="text1"/>
          <w:u w:color="000000" w:themeColor="text1"/>
        </w:rPr>
        <w:lastRenderedPageBreak/>
        <w:t>State and the taxpayer does not have a distribution center in the State at the time of initial approval of the port volume tax credit, so long as: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sidR="004A7D86">
        <w:rPr>
          <w:color w:val="000000" w:themeColor="text1"/>
          <w:u w:color="000000" w:themeColor="text1"/>
        </w:rPr>
        <w:t xml:space="preserve">er employs at least two hundred </w:t>
      </w:r>
      <w:r w:rsidRPr="00746C9F">
        <w:rPr>
          <w:color w:val="000000" w:themeColor="text1"/>
          <w:u w:color="000000" w:themeColor="text1"/>
        </w:rPr>
        <w:t>fifty full</w:t>
      </w:r>
      <w:r w:rsidR="00E54963">
        <w:rPr>
          <w:color w:val="000000" w:themeColor="text1"/>
          <w:u w:color="000000" w:themeColor="text1"/>
        </w:rPr>
        <w:noBreakHyphen/>
      </w:r>
      <w:r w:rsidRPr="00746C9F">
        <w:rPr>
          <w:color w:val="000000" w:themeColor="text1"/>
          <w:u w:color="000000" w:themeColor="text1"/>
        </w:rPr>
        <w:t>time or full</w:t>
      </w:r>
      <w:r w:rsidR="00E54963">
        <w:rPr>
          <w:color w:val="000000" w:themeColor="text1"/>
          <w:u w:color="000000" w:themeColor="text1"/>
        </w:rPr>
        <w:noBreakHyphen/>
      </w:r>
      <w:r w:rsidRPr="00746C9F">
        <w:rPr>
          <w:color w:val="000000" w:themeColor="text1"/>
          <w:u w:color="000000" w:themeColor="text1"/>
        </w:rPr>
        <w:t>time equivalent South Carolinians in operations statewide;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E54963">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60(A) of the 1976 Code, is amended by adding a new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SECTION</w:t>
      </w:r>
      <w:r w:rsidRPr="003A7BFF">
        <w:rPr>
          <w:color w:val="000000" w:themeColor="text1"/>
          <w:u w:color="000000" w:themeColor="text1"/>
        </w:rPr>
        <w:tab/>
        <w:t>7.</w:t>
      </w:r>
      <w:r w:rsidRPr="003A7BFF">
        <w:rPr>
          <w:color w:val="000000" w:themeColor="text1"/>
          <w:u w:color="000000" w:themeColor="text1"/>
        </w:rPr>
        <w:tab/>
        <w:t>Section 12</w:t>
      </w:r>
      <w:r>
        <w:rPr>
          <w:color w:val="000000" w:themeColor="text1"/>
          <w:u w:color="000000" w:themeColor="text1"/>
        </w:rPr>
        <w:noBreakHyphen/>
      </w:r>
      <w:r w:rsidRPr="003A7BFF">
        <w:rPr>
          <w:color w:val="000000" w:themeColor="text1"/>
          <w:u w:color="000000" w:themeColor="text1"/>
        </w:rPr>
        <w:t>36</w:t>
      </w:r>
      <w:r>
        <w:rPr>
          <w:color w:val="000000" w:themeColor="text1"/>
          <w:u w:color="000000" w:themeColor="text1"/>
        </w:rPr>
        <w:noBreakHyphen/>
      </w:r>
      <w:r w:rsidRPr="003A7BFF">
        <w:rPr>
          <w:color w:val="000000" w:themeColor="text1"/>
          <w:u w:color="000000" w:themeColor="text1"/>
        </w:rPr>
        <w:t>2120(51) and (67) of the 1976 Code is amended to read:</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Pr>
          <w:color w:val="000000" w:themeColor="text1"/>
          <w:u w:val="single" w:color="000000" w:themeColor="text1"/>
        </w:rPr>
        <w:noBreakHyphen/>
      </w:r>
      <w:r w:rsidRPr="003A7BFF">
        <w:rPr>
          <w:color w:val="000000" w:themeColor="text1"/>
          <w:u w:val="single" w:color="000000" w:themeColor="text1"/>
        </w:rPr>
        <w:t>6</w:t>
      </w:r>
      <w:r>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Pr>
          <w:color w:val="000000" w:themeColor="text1"/>
          <w:u w:color="000000" w:themeColor="text1"/>
        </w:rPr>
        <w:noBreakHyphen/>
      </w:r>
      <w:r w:rsidRPr="003A7BFF">
        <w:rPr>
          <w:color w:val="000000" w:themeColor="text1"/>
          <w:u w:color="000000" w:themeColor="text1"/>
        </w:rPr>
        <w:t>54</w:t>
      </w:r>
      <w:r>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Pr="00704391">
        <w:rPr>
          <w:strike/>
          <w:color w:val="000000" w:themeColor="text1"/>
          <w:u w:color="000000" w:themeColor="text1"/>
        </w:rPr>
        <w:noBreakHyphen/>
        <w:t>five million dollar</w:t>
      </w:r>
      <w:r w:rsidRPr="003A7BFF">
        <w:rPr>
          <w:color w:val="000000" w:themeColor="text1"/>
          <w:u w:color="000000" w:themeColor="text1"/>
        </w:rPr>
        <w:t xml:space="preserve"> investment requirement</w:t>
      </w:r>
      <w:r w:rsidRPr="003A7BFF">
        <w:rPr>
          <w:color w:val="000000" w:themeColor="text1"/>
          <w:u w:val="single"/>
        </w:rPr>
        <w:t>.</w:t>
      </w:r>
      <w:bookmarkStart w:id="5" w:name="temp"/>
      <w:bookmarkEnd w:id="5"/>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(51), ‘distribution facility’ includes a port facility, as that term is defined in Section 12-6-3375</w:t>
      </w:r>
      <w:r w:rsidRPr="003A7BFF">
        <w:rPr>
          <w:color w:val="000000" w:themeColor="text1"/>
          <w:u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(67)</w:t>
      </w:r>
      <w:r w:rsidRPr="003A7BFF">
        <w:rPr>
          <w:color w:val="000000" w:themeColor="text1"/>
          <w:u w:color="000000" w:themeColor="text1"/>
        </w:rPr>
        <w:tab/>
        <w:t>effective July 1, 2011,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Pr>
          <w:color w:val="000000" w:themeColor="text1"/>
          <w:u w:val="single" w:color="000000" w:themeColor="text1"/>
        </w:rPr>
        <w:noBreakHyphen/>
      </w:r>
      <w:r w:rsidRPr="003A7BFF">
        <w:rPr>
          <w:color w:val="000000" w:themeColor="text1"/>
          <w:u w:val="single" w:color="000000" w:themeColor="text1"/>
        </w:rPr>
        <w:t>6</w:t>
      </w:r>
      <w:r>
        <w:rPr>
          <w:color w:val="000000" w:themeColor="text1"/>
          <w:u w:val="single" w:color="000000" w:themeColor="text1"/>
        </w:rPr>
        <w:noBreakHyphen/>
      </w:r>
      <w:r w:rsidRPr="003A7BFF">
        <w:rPr>
          <w:color w:val="000000" w:themeColor="text1"/>
          <w:u w:val="single" w:color="000000" w:themeColor="text1"/>
        </w:rPr>
        <w:t>3360(M); or</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3A7BFF">
        <w:rPr>
          <w:color w:val="000000" w:themeColor="text1"/>
          <w:u w:color="000000" w:themeColor="text1"/>
        </w:rPr>
        <w:t>year period;  and</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Pr>
          <w:color w:val="000000" w:themeColor="text1"/>
          <w:u w:color="000000" w:themeColor="text1"/>
        </w:rPr>
        <w:noBreakHyphen/>
      </w:r>
      <w:r w:rsidRPr="003A7BFF">
        <w:rPr>
          <w:color w:val="000000" w:themeColor="text1"/>
          <w:u w:color="000000" w:themeColor="text1"/>
        </w:rPr>
        <w:t>year period.</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Pr>
          <w:color w:val="000000" w:themeColor="text1"/>
          <w:u w:color="000000" w:themeColor="text1"/>
        </w:rPr>
        <w:noBreakHyphen/>
      </w:r>
      <w:r w:rsidRPr="003A7BFF">
        <w:rPr>
          <w:color w:val="000000" w:themeColor="text1"/>
          <w:u w:color="000000" w:themeColor="text1"/>
        </w:rPr>
        <w:t>54</w:t>
      </w:r>
      <w:r>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3C7B04" w:rsidRPr="00746C9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‘distribution facility’ includes a port facility, as that term is defined in Section 12-6-3375</w:t>
      </w:r>
      <w:r w:rsidRPr="003A7BFF">
        <w:rPr>
          <w:color w:val="000000" w:themeColor="text1"/>
          <w:u w:color="000000" w:themeColor="text1"/>
        </w:rPr>
        <w:t>;”</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B04">
        <w:t>8</w:t>
      </w:r>
      <w:r>
        <w:t>.</w:t>
      </w:r>
      <w:r>
        <w:tab/>
        <w:t>This act takes effect upon approval by the Governor.</w:t>
      </w:r>
    </w:p>
    <w:p w:rsidR="00CB091E" w:rsidRDefault="00E5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2E5" w:rsidRDefault="009742E5" w:rsidP="009742E5">
      <w:pPr>
        <w:suppressAutoHyphens/>
      </w:pPr>
    </w:p>
    <w:sectPr w:rsidR="009742E5" w:rsidSect="007774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431" w:rsidRDefault="00777431" w:rsidP="009F0C77">
      <w:r>
        <w:separator/>
      </w:r>
    </w:p>
  </w:endnote>
  <w:endnote w:type="continuationSeparator" w:id="0">
    <w:p w:rsidR="00777431" w:rsidRDefault="00777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6AE957-E1DE-4A84-9E85-61336EEF83F0}"/>
    <w:embedBold r:id="rId2" w:fontKey="{C3952174-DC79-4ADA-84E5-54788668DF96}"/>
  </w:font>
  <w:font w:name="Calibri">
    <w:panose1 w:val="020F0502020204030204"/>
    <w:charset w:val="00"/>
    <w:family w:val="swiss"/>
    <w:pitch w:val="variable"/>
    <w:sig w:usb0="E00002FF" w:usb1="4000ACFF" w:usb2="00000001" w:usb3="00000000" w:csb0="0000019F" w:csb1="00000000"/>
    <w:embedRegular r:id="rId3" w:fontKey="{974AC92F-E09F-41F4-AEED-A8926366DD98}"/>
  </w:font>
  <w:font w:name="Cambria">
    <w:panose1 w:val="02040503050406030204"/>
    <w:charset w:val="00"/>
    <w:family w:val="roman"/>
    <w:pitch w:val="variable"/>
    <w:sig w:usb0="E00002FF" w:usb1="400004FF" w:usb2="00000000" w:usb3="00000000" w:csb0="0000019F" w:csb1="00000000"/>
    <w:embedRegular r:id="rId4" w:fontKey="{DB3E8EA2-E93E-4090-8A45-469685362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fldChar w:fldCharType="begin"/>
    </w:r>
    <w:r>
      <w:instrText xml:space="preserve"> PAGE  \* MERGEFORMAT </w:instrText>
    </w:r>
    <w:r>
      <w:fldChar w:fldCharType="separate"/>
    </w:r>
    <w:r w:rsidR="009742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9742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431" w:rsidRDefault="00777431" w:rsidP="009F0C77">
      <w:r>
        <w:separator/>
      </w:r>
    </w:p>
  </w:footnote>
  <w:footnote w:type="continuationSeparator" w:id="0">
    <w:p w:rsidR="00777431" w:rsidRDefault="00777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1DG17"/>
    <w:docVar w:name="CoverBillType" w:val="b"/>
    <w:docVar w:name="docpath" w:val="L:\Council\bills\BBM\9511DG17.DOCX"/>
    <w:docVar w:name="dvBillNumber" w:val="58"/>
    <w:docVar w:name="dvBillNumberPrefix" w:val="S. "/>
    <w:docVar w:name="dvOriginalBody" w:val="Senate"/>
    <w:docVar w:name="dvSteno" w:val="BBM"/>
    <w:docVar w:name="NameofBody" w:val="s"/>
    <w:docVar w:name="vgroup2" w:val="Council"/>
  </w:docVars>
  <w:rsids>
    <w:rsidRoot w:val="00553986"/>
    <w:rsid w:val="00026C9A"/>
    <w:rsid w:val="000965A1"/>
    <w:rsid w:val="000E1785"/>
    <w:rsid w:val="000F39F2"/>
    <w:rsid w:val="001023A4"/>
    <w:rsid w:val="0010776B"/>
    <w:rsid w:val="001242F4"/>
    <w:rsid w:val="00133E66"/>
    <w:rsid w:val="00134ACF"/>
    <w:rsid w:val="00144E15"/>
    <w:rsid w:val="001A4A62"/>
    <w:rsid w:val="001A681E"/>
    <w:rsid w:val="001D08F2"/>
    <w:rsid w:val="002037CA"/>
    <w:rsid w:val="002047A2"/>
    <w:rsid w:val="002054BC"/>
    <w:rsid w:val="002321B6"/>
    <w:rsid w:val="0023696B"/>
    <w:rsid w:val="00250967"/>
    <w:rsid w:val="002759C5"/>
    <w:rsid w:val="00277DEE"/>
    <w:rsid w:val="00280D88"/>
    <w:rsid w:val="00294ABE"/>
    <w:rsid w:val="002A3EB4"/>
    <w:rsid w:val="002E6D20"/>
    <w:rsid w:val="00325348"/>
    <w:rsid w:val="00393688"/>
    <w:rsid w:val="003C7B04"/>
    <w:rsid w:val="003D411E"/>
    <w:rsid w:val="003E3C1E"/>
    <w:rsid w:val="003E6148"/>
    <w:rsid w:val="00400EAA"/>
    <w:rsid w:val="00403A5A"/>
    <w:rsid w:val="0041760A"/>
    <w:rsid w:val="004203D7"/>
    <w:rsid w:val="004809EE"/>
    <w:rsid w:val="004A7D86"/>
    <w:rsid w:val="0050707B"/>
    <w:rsid w:val="00511EE9"/>
    <w:rsid w:val="00521E00"/>
    <w:rsid w:val="00553986"/>
    <w:rsid w:val="00577C6C"/>
    <w:rsid w:val="0058501B"/>
    <w:rsid w:val="00605C85"/>
    <w:rsid w:val="0061228A"/>
    <w:rsid w:val="006215AA"/>
    <w:rsid w:val="006340D9"/>
    <w:rsid w:val="00643B8E"/>
    <w:rsid w:val="00665EBC"/>
    <w:rsid w:val="0069470D"/>
    <w:rsid w:val="006A476C"/>
    <w:rsid w:val="006C6A93"/>
    <w:rsid w:val="006E02F9"/>
    <w:rsid w:val="00753C04"/>
    <w:rsid w:val="00756946"/>
    <w:rsid w:val="00757F80"/>
    <w:rsid w:val="00771EEC"/>
    <w:rsid w:val="00777431"/>
    <w:rsid w:val="00786819"/>
    <w:rsid w:val="007A325A"/>
    <w:rsid w:val="007C3099"/>
    <w:rsid w:val="007E72BE"/>
    <w:rsid w:val="007F1523"/>
    <w:rsid w:val="007F509E"/>
    <w:rsid w:val="007F5799"/>
    <w:rsid w:val="007F6947"/>
    <w:rsid w:val="00825FB9"/>
    <w:rsid w:val="00834A12"/>
    <w:rsid w:val="008428FB"/>
    <w:rsid w:val="008510AD"/>
    <w:rsid w:val="00872729"/>
    <w:rsid w:val="008A3E7A"/>
    <w:rsid w:val="008F4429"/>
    <w:rsid w:val="00932670"/>
    <w:rsid w:val="009352BB"/>
    <w:rsid w:val="00973EEC"/>
    <w:rsid w:val="009742E5"/>
    <w:rsid w:val="00990668"/>
    <w:rsid w:val="009B397B"/>
    <w:rsid w:val="009F0C77"/>
    <w:rsid w:val="009F4DD1"/>
    <w:rsid w:val="00A64E80"/>
    <w:rsid w:val="00A741D9"/>
    <w:rsid w:val="00A7436D"/>
    <w:rsid w:val="00A9741D"/>
    <w:rsid w:val="00AD4B17"/>
    <w:rsid w:val="00B17043"/>
    <w:rsid w:val="00B26FA6"/>
    <w:rsid w:val="00B741CB"/>
    <w:rsid w:val="00B934F3"/>
    <w:rsid w:val="00BB6347"/>
    <w:rsid w:val="00BD2134"/>
    <w:rsid w:val="00C038D8"/>
    <w:rsid w:val="00C045DD"/>
    <w:rsid w:val="00C15511"/>
    <w:rsid w:val="00C3136F"/>
    <w:rsid w:val="00C3483A"/>
    <w:rsid w:val="00C450DB"/>
    <w:rsid w:val="00C74E9D"/>
    <w:rsid w:val="00C82FD3"/>
    <w:rsid w:val="00CB091E"/>
    <w:rsid w:val="00CC18E9"/>
    <w:rsid w:val="00CC6B7B"/>
    <w:rsid w:val="00CD3619"/>
    <w:rsid w:val="00CE1DF3"/>
    <w:rsid w:val="00CF4447"/>
    <w:rsid w:val="00D405E7"/>
    <w:rsid w:val="00D41D56"/>
    <w:rsid w:val="00D6260D"/>
    <w:rsid w:val="00D6662B"/>
    <w:rsid w:val="00D95E2F"/>
    <w:rsid w:val="00D970A9"/>
    <w:rsid w:val="00D97A70"/>
    <w:rsid w:val="00DB3AC0"/>
    <w:rsid w:val="00DC6813"/>
    <w:rsid w:val="00DE68F0"/>
    <w:rsid w:val="00DF3845"/>
    <w:rsid w:val="00DF7E17"/>
    <w:rsid w:val="00E5496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15BDB-8859-4E29-9DCC-E3F47714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25FB9"/>
    <w:pPr>
      <w:spacing w:after="0" w:line="240" w:lineRule="auto"/>
    </w:pPr>
    <w:rPr>
      <w:sz w:val="24"/>
    </w:rPr>
  </w:style>
  <w:style w:type="paragraph" w:styleId="ListParagraph">
    <w:name w:val="List Paragraph"/>
    <w:basedOn w:val="Normal"/>
    <w:uiPriority w:val="34"/>
    <w:qFormat/>
    <w:rsid w:val="00825FB9"/>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204EA-B31F-46D6-B8BB-7CF7726D7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8B861AE0</Template>
  <TotalTime>0</TotalTime>
  <Pages>11</Pages>
  <Words>3625</Words>
  <Characters>18495</Characters>
  <Application>Microsoft Office Word</Application>
  <DocSecurity>0</DocSecurity>
  <Lines>429</Lines>
  <Paragraphs>89</Paragraphs>
  <ScaleCrop>false</ScaleCrop>
  <HeadingPairs>
    <vt:vector size="2" baseType="variant">
      <vt:variant>
        <vt:lpstr>Title</vt:lpstr>
      </vt:variant>
      <vt:variant>
        <vt:i4>1</vt:i4>
      </vt:variant>
    </vt:vector>
  </HeadingPairs>
  <TitlesOfParts>
    <vt:vector size="1" baseType="lpstr">
      <vt:lpstr>2017-2018 Bill 58 Text of Previous Version (Dec. 13, 2016) - South Carolina Legislature Online</vt:lpstr>
    </vt:vector>
  </TitlesOfParts>
  <Company> </Company>
  <LinksUpToDate>false</LinksUpToDate>
  <CharactersWithSpaces>22202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 Text of Previous Version (Jan. 26, 2017) - South Carolina Legislature Online</dc:title>
  <dc:subject/>
  <dc:creator>BRENDA MELTON</dc:creator>
  <cp:keywords/>
  <dc:description/>
  <cp:lastModifiedBy>David Brunson</cp:lastModifiedBy>
  <cp:revision>2</cp:revision>
  <cp:lastPrinted>2016-11-18T16:15:00Z</cp:lastPrinted>
  <dcterms:created xsi:type="dcterms:W3CDTF">2017-01-26T18:08:00Z</dcterms:created>
  <dcterms:modified xsi:type="dcterms:W3CDTF">2017-01-26T18:08:00Z</dcterms:modified>
</cp:coreProperties>
</file>