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02067" w14:textId="2CDC8D47" w:rsidR="005C1DA5" w:rsidRDefault="005C1DA5" w:rsidP="005C1DA5">
      <w:pPr>
        <w:widowControl w:val="0"/>
        <w:jc w:val="center"/>
      </w:pPr>
      <w:r w:rsidRPr="005C1DA5">
        <w:rPr>
          <w:b/>
        </w:rPr>
        <w:t>South Carolina General Assembly</w:t>
      </w:r>
    </w:p>
    <w:p w14:paraId="2424B97B" w14:textId="1CCF43EB" w:rsidR="005C1DA5" w:rsidRDefault="005C1DA5" w:rsidP="005C1DA5">
      <w:pPr>
        <w:widowControl w:val="0"/>
        <w:jc w:val="center"/>
      </w:pPr>
      <w:r>
        <w:t>123rd Session, 2019-2020</w:t>
      </w:r>
    </w:p>
    <w:p w14:paraId="566D4478" w14:textId="38E88EFA" w:rsidR="005C1DA5" w:rsidRDefault="005C1DA5" w:rsidP="005C1DA5">
      <w:pPr>
        <w:widowControl w:val="0"/>
      </w:pPr>
    </w:p>
    <w:p w14:paraId="4CC1EF6D" w14:textId="18DD2F85" w:rsidR="005C1DA5" w:rsidRDefault="005C1DA5" w:rsidP="005C1DA5">
      <w:pPr>
        <w:widowControl w:val="0"/>
        <w:rPr>
          <w:b/>
        </w:rPr>
      </w:pPr>
      <w:r w:rsidRPr="005C1DA5">
        <w:rPr>
          <w:b/>
        </w:rPr>
        <w:t>S.</w:t>
      </w:r>
      <w:r>
        <w:rPr>
          <w:b/>
        </w:rPr>
        <w:t xml:space="preserve"> </w:t>
      </w:r>
      <w:r w:rsidRPr="005C1DA5">
        <w:rPr>
          <w:b/>
        </w:rPr>
        <w:t>1008</w:t>
      </w:r>
    </w:p>
    <w:p w14:paraId="7874B0D1" w14:textId="2FB04846" w:rsidR="005C1DA5" w:rsidRDefault="005C1DA5" w:rsidP="005C1DA5">
      <w:pPr>
        <w:widowControl w:val="0"/>
        <w:rPr>
          <w:b/>
        </w:rPr>
      </w:pPr>
    </w:p>
    <w:p w14:paraId="18D17322" w14:textId="023368C4" w:rsidR="005C1DA5" w:rsidRDefault="005C1DA5" w:rsidP="005C1DA5">
      <w:pPr>
        <w:widowControl w:val="0"/>
      </w:pPr>
      <w:r w:rsidRPr="005C1DA5">
        <w:rPr>
          <w:b/>
        </w:rPr>
        <w:t>STATUS INFORMATION</w:t>
      </w:r>
    </w:p>
    <w:p w14:paraId="0946DF1A" w14:textId="7EE9AF40" w:rsidR="005C1DA5" w:rsidRDefault="005C1DA5" w:rsidP="005C1DA5">
      <w:pPr>
        <w:widowControl w:val="0"/>
      </w:pPr>
    </w:p>
    <w:p w14:paraId="65F53408" w14:textId="69A476A3" w:rsidR="005C1DA5" w:rsidRDefault="005C1DA5" w:rsidP="005C1DA5">
      <w:pPr>
        <w:widowControl w:val="0"/>
      </w:pPr>
      <w:r>
        <w:t>General Bill</w:t>
      </w:r>
    </w:p>
    <w:p w14:paraId="656841F9" w14:textId="59C3D337" w:rsidR="005C1DA5" w:rsidRDefault="005C1DA5" w:rsidP="005C1DA5">
      <w:pPr>
        <w:widowControl w:val="0"/>
      </w:pPr>
      <w:r>
        <w:t>Sponsors: Senator Malloy</w:t>
      </w:r>
    </w:p>
    <w:p w14:paraId="488ACD6E" w14:textId="482E1D3E" w:rsidR="005C1DA5" w:rsidRDefault="005C1DA5" w:rsidP="005C1DA5">
      <w:pPr>
        <w:widowControl w:val="0"/>
      </w:pPr>
      <w:r>
        <w:t>Document Path: l:\s-jud\bills\malloy\jud0082.sw.docx</w:t>
      </w:r>
    </w:p>
    <w:p w14:paraId="49EDD689" w14:textId="77777777" w:rsidR="00EA5F4F" w:rsidRDefault="00EA5F4F" w:rsidP="005C1DA5">
      <w:pPr>
        <w:widowControl w:val="0"/>
      </w:pPr>
      <w:r>
        <w:t>Companion/Similar bill(s): 4689</w:t>
      </w:r>
    </w:p>
    <w:p w14:paraId="2C24A319" w14:textId="0A285FBF" w:rsidR="005C1DA5" w:rsidRDefault="005C1DA5" w:rsidP="005C1DA5">
      <w:pPr>
        <w:widowControl w:val="0"/>
      </w:pPr>
    </w:p>
    <w:p w14:paraId="72130112" w14:textId="77777777" w:rsidR="005C1DA5" w:rsidRDefault="005C1DA5" w:rsidP="005C1DA5">
      <w:pPr>
        <w:widowControl w:val="0"/>
      </w:pPr>
      <w:r>
        <w:t>Introduced in the Senate on January 15, 2020</w:t>
      </w:r>
    </w:p>
    <w:p w14:paraId="1779B13F" w14:textId="03611629" w:rsidR="005C1DA5" w:rsidRDefault="005C1DA5" w:rsidP="005C1DA5">
      <w:pPr>
        <w:widowControl w:val="0"/>
      </w:pPr>
      <w:r>
        <w:t xml:space="preserve">Currently residing in the Senate Committee on </w:t>
      </w:r>
      <w:r w:rsidRPr="005C1DA5">
        <w:rPr>
          <w:b/>
        </w:rPr>
        <w:t>Judiciary</w:t>
      </w:r>
    </w:p>
    <w:p w14:paraId="3E9BE282" w14:textId="7D4D773B" w:rsidR="005C1DA5" w:rsidRDefault="005C1DA5" w:rsidP="005C1DA5">
      <w:pPr>
        <w:widowControl w:val="0"/>
      </w:pPr>
    </w:p>
    <w:p w14:paraId="1FE402C1" w14:textId="46788178" w:rsidR="005C1DA5" w:rsidRDefault="000F03B9" w:rsidP="005C1DA5">
      <w:pPr>
        <w:widowControl w:val="0"/>
      </w:pPr>
      <w:r>
        <w:t>Summary: Sexual abuse or incest</w:t>
      </w:r>
    </w:p>
    <w:p w14:paraId="579DEFB0" w14:textId="610110BF" w:rsidR="005C1DA5" w:rsidRDefault="005C1DA5" w:rsidP="005C1DA5">
      <w:pPr>
        <w:widowControl w:val="0"/>
      </w:pPr>
    </w:p>
    <w:p w14:paraId="00EC591D" w14:textId="06236C54" w:rsidR="005C1DA5" w:rsidRDefault="005C1DA5" w:rsidP="005C1DA5">
      <w:pPr>
        <w:widowControl w:val="0"/>
      </w:pPr>
    </w:p>
    <w:p w14:paraId="17FF8E3D" w14:textId="47A8E05A" w:rsidR="005C1DA5" w:rsidRDefault="005C1DA5" w:rsidP="005C1DA5">
      <w:pPr>
        <w:widowControl w:val="0"/>
        <w:tabs>
          <w:tab w:val="center" w:pos="590"/>
          <w:tab w:val="center" w:pos="1440"/>
          <w:tab w:val="left" w:pos="1872"/>
          <w:tab w:val="left" w:pos="9187"/>
        </w:tabs>
      </w:pPr>
      <w:r w:rsidRPr="005C1DA5">
        <w:rPr>
          <w:b/>
        </w:rPr>
        <w:t>HISTORY OF LEGISLATIVE ACTIONS</w:t>
      </w:r>
    </w:p>
    <w:p w14:paraId="34B3BE07" w14:textId="6E8DEA82" w:rsidR="005C1DA5" w:rsidRDefault="005C1DA5" w:rsidP="005C1DA5">
      <w:pPr>
        <w:widowControl w:val="0"/>
        <w:tabs>
          <w:tab w:val="center" w:pos="590"/>
          <w:tab w:val="center" w:pos="1440"/>
          <w:tab w:val="left" w:pos="1872"/>
          <w:tab w:val="left" w:pos="9187"/>
        </w:tabs>
      </w:pPr>
    </w:p>
    <w:p w14:paraId="556A6081" w14:textId="6D0528A0" w:rsidR="005C1DA5" w:rsidRPr="005C1DA5" w:rsidRDefault="005C1DA5" w:rsidP="005C1DA5">
      <w:pPr>
        <w:widowControl w:val="0"/>
        <w:tabs>
          <w:tab w:val="center" w:pos="590"/>
          <w:tab w:val="center" w:pos="1440"/>
          <w:tab w:val="left" w:pos="1872"/>
          <w:tab w:val="left" w:pos="9187"/>
        </w:tabs>
      </w:pPr>
      <w:r w:rsidRPr="005C1DA5">
        <w:rPr>
          <w:u w:val="single"/>
        </w:rPr>
        <w:tab/>
        <w:t>Date</w:t>
      </w:r>
      <w:r w:rsidRPr="005C1DA5">
        <w:rPr>
          <w:u w:val="single"/>
        </w:rPr>
        <w:tab/>
        <w:t>Body</w:t>
      </w:r>
      <w:r w:rsidRPr="005C1DA5">
        <w:rPr>
          <w:u w:val="single"/>
        </w:rPr>
        <w:tab/>
        <w:t>Action Description with journal page number</w:t>
      </w:r>
      <w:r w:rsidRPr="005C1DA5">
        <w:rPr>
          <w:u w:val="single"/>
        </w:rPr>
        <w:tab/>
      </w:r>
    </w:p>
    <w:p w14:paraId="1D39965A" w14:textId="77777777" w:rsidR="00DF4940" w:rsidRDefault="00DF4940" w:rsidP="00DF4940">
      <w:pPr>
        <w:widowControl w:val="0"/>
        <w:tabs>
          <w:tab w:val="right" w:pos="1008"/>
          <w:tab w:val="left" w:pos="1152"/>
          <w:tab w:val="left" w:pos="1872"/>
          <w:tab w:val="left" w:pos="9187"/>
        </w:tabs>
        <w:ind w:left="2088" w:hanging="2088"/>
      </w:pPr>
      <w:r>
        <w:tab/>
        <w:t>1/15/2020</w:t>
      </w:r>
      <w:r>
        <w:tab/>
        <w:t>Senate</w:t>
      </w:r>
      <w:r>
        <w:tab/>
        <w:t>Introduced and read first time (</w:t>
      </w:r>
      <w:hyperlink r:id="rId6" w:history="1">
        <w:r w:rsidRPr="00F54AB3">
          <w:rPr>
            <w:rStyle w:val="Hyperlink"/>
          </w:rPr>
          <w:t>Senate Journal</w:t>
        </w:r>
        <w:r w:rsidRPr="00F54AB3">
          <w:rPr>
            <w:rStyle w:val="Hyperlink"/>
          </w:rPr>
          <w:noBreakHyphen/>
          <w:t>page 5</w:t>
        </w:r>
      </w:hyperlink>
      <w:r>
        <w:t>)</w:t>
      </w:r>
    </w:p>
    <w:p w14:paraId="4549B98F" w14:textId="77777777" w:rsidR="00DF4940" w:rsidRDefault="00DF4940" w:rsidP="00DF4940">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F54AB3">
        <w:rPr>
          <w:b/>
        </w:rPr>
        <w:t>Judiciary</w:t>
      </w:r>
      <w:r>
        <w:t xml:space="preserve"> (</w:t>
      </w:r>
      <w:hyperlink r:id="rId7" w:history="1">
        <w:r w:rsidRPr="00F54AB3">
          <w:rPr>
            <w:rStyle w:val="Hyperlink"/>
          </w:rPr>
          <w:t>Senate Journal</w:t>
        </w:r>
        <w:r w:rsidRPr="00F54AB3">
          <w:rPr>
            <w:rStyle w:val="Hyperlink"/>
          </w:rPr>
          <w:noBreakHyphen/>
          <w:t>page 5</w:t>
        </w:r>
      </w:hyperlink>
      <w:r>
        <w:t>)</w:t>
      </w:r>
    </w:p>
    <w:p w14:paraId="38608C00" w14:textId="77777777" w:rsidR="00DF4940" w:rsidRDefault="00DF4940" w:rsidP="00DF4940">
      <w:pPr>
        <w:widowControl w:val="0"/>
        <w:tabs>
          <w:tab w:val="right" w:pos="1008"/>
          <w:tab w:val="left" w:pos="1152"/>
          <w:tab w:val="left" w:pos="1872"/>
          <w:tab w:val="left" w:pos="9187"/>
        </w:tabs>
        <w:ind w:left="2088" w:hanging="2088"/>
      </w:pPr>
    </w:p>
    <w:p w14:paraId="25DDD571" w14:textId="454F67DB" w:rsidR="005C1DA5" w:rsidRDefault="005C1DA5" w:rsidP="005C1DA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C1DA5">
          <w:rPr>
            <w:rStyle w:val="Hyperlink"/>
          </w:rPr>
          <w:t>legislative information</w:t>
        </w:r>
      </w:hyperlink>
      <w:r>
        <w:t xml:space="preserve"> at the website</w:t>
      </w:r>
    </w:p>
    <w:p w14:paraId="125011D5" w14:textId="24C8C09E" w:rsidR="005C1DA5" w:rsidRDefault="005C1DA5" w:rsidP="005C1DA5">
      <w:pPr>
        <w:widowControl w:val="0"/>
        <w:tabs>
          <w:tab w:val="right" w:pos="1008"/>
          <w:tab w:val="left" w:pos="1152"/>
          <w:tab w:val="left" w:pos="1872"/>
          <w:tab w:val="left" w:pos="9187"/>
        </w:tabs>
        <w:ind w:left="2088" w:hanging="2088"/>
      </w:pPr>
    </w:p>
    <w:p w14:paraId="449235A1" w14:textId="77777777" w:rsidR="005C1DA5" w:rsidRPr="005C1DA5" w:rsidRDefault="005C1DA5" w:rsidP="005C1DA5">
      <w:pPr>
        <w:widowControl w:val="0"/>
        <w:tabs>
          <w:tab w:val="right" w:pos="1008"/>
          <w:tab w:val="left" w:pos="1152"/>
          <w:tab w:val="left" w:pos="1872"/>
          <w:tab w:val="left" w:pos="9187"/>
        </w:tabs>
        <w:ind w:left="2088" w:hanging="2088"/>
      </w:pPr>
    </w:p>
    <w:p w14:paraId="1046B381" w14:textId="48265076" w:rsidR="005C1DA5" w:rsidRDefault="005C1DA5" w:rsidP="005C1DA5">
      <w:pPr>
        <w:widowControl w:val="0"/>
      </w:pPr>
      <w:r w:rsidRPr="005C1DA5">
        <w:rPr>
          <w:b/>
        </w:rPr>
        <w:t>VERSIONS OF THIS BILL</w:t>
      </w:r>
    </w:p>
    <w:p w14:paraId="00E9A825" w14:textId="1EE44EC9" w:rsidR="005C1DA5" w:rsidRDefault="005C1DA5" w:rsidP="005C1DA5">
      <w:pPr>
        <w:widowControl w:val="0"/>
      </w:pPr>
    </w:p>
    <w:p w14:paraId="37AF4977" w14:textId="1EBFAE0E" w:rsidR="005C1DA5" w:rsidRDefault="00087159" w:rsidP="005C1DA5">
      <w:pPr>
        <w:widowControl w:val="0"/>
      </w:pPr>
      <w:hyperlink r:id="rId9" w:history="1">
        <w:r w:rsidR="005C1DA5">
          <w:rPr>
            <w:rStyle w:val="Hyperlink"/>
          </w:rPr>
          <w:t>1/15/2020</w:t>
        </w:r>
      </w:hyperlink>
    </w:p>
    <w:p w14:paraId="5913E234" w14:textId="5F85E3D8" w:rsidR="005C1DA5" w:rsidRDefault="005C1DA5" w:rsidP="005C1DA5"/>
    <w:p w14:paraId="2E82C005" w14:textId="77777777" w:rsidR="005C1DA5" w:rsidRDefault="005C1DA5" w:rsidP="005C1DA5">
      <w:pPr>
        <w:sectPr w:rsidR="005C1DA5" w:rsidSect="005C1DA5">
          <w:pgSz w:w="12240" w:h="15840" w:code="1"/>
          <w:pgMar w:top="1080" w:right="1440" w:bottom="1080" w:left="1440" w:header="720" w:footer="720" w:gutter="0"/>
          <w:cols w:space="720"/>
          <w:noEndnote/>
          <w:docGrid w:linePitch="360"/>
        </w:sectPr>
      </w:pPr>
    </w:p>
    <w:p w14:paraId="45D6C9BD" w14:textId="70184A72" w:rsidR="003A1E0D" w:rsidRDefault="003A1E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32B27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5A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B7D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E73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447B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F0F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945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D2F20" w14:textId="77777777" w:rsidR="00522CE0" w:rsidRPr="008F023B" w:rsidRDefault="00522CE0" w:rsidP="003A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2957">
        <w:rPr>
          <w:rFonts w:eastAsia="Times New Roman"/>
          <w:b/>
          <w:sz w:val="30"/>
          <w:szCs w:val="30"/>
        </w:rPr>
        <w:t>BILL</w:t>
      </w:r>
    </w:p>
    <w:p w14:paraId="6C45D3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1D0DD" w14:textId="5759DB62" w:rsidR="00522CE0" w:rsidRPr="00522CE0" w:rsidRDefault="00F72C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Pr="00687A93">
        <w:rPr>
          <w:rFonts w:eastAsia="Times New Roman"/>
        </w:rPr>
        <w:noBreakHyphen/>
        <w:t>3</w:t>
      </w:r>
      <w:r w:rsidRPr="00687A93">
        <w:rPr>
          <w:rFonts w:eastAsia="Times New Roman"/>
        </w:rPr>
        <w:noBreakHyphen/>
      </w:r>
      <w:r>
        <w:rPr>
          <w:rFonts w:eastAsia="Times New Roman"/>
        </w:rPr>
        <w:t>555</w:t>
      </w:r>
      <w:r w:rsidRPr="00687A93">
        <w:rPr>
          <w:rFonts w:eastAsia="Times New Roman"/>
        </w:rPr>
        <w:t xml:space="preserve">, CODE OF LAWS OF SOUTH CAROLINA, 1976, RELATING TO </w:t>
      </w:r>
      <w:r>
        <w:rPr>
          <w:rFonts w:eastAsia="Times New Roman"/>
        </w:rPr>
        <w:t xml:space="preserve">THE STATUTE OF LIMITATIONS FOR AN ACTION TO RECOVER DAMAGES FOR AN INJURY ARISING OUT OF AN ACT OF SEXUAL ASSAULT, SEXUAL ABUSE, OR INCEST, </w:t>
      </w:r>
      <w:r w:rsidRPr="00687A93">
        <w:rPr>
          <w:rFonts w:eastAsia="Times New Roman"/>
        </w:rPr>
        <w:t xml:space="preserve">SO AS TO </w:t>
      </w:r>
      <w:r>
        <w:rPr>
          <w:rFonts w:eastAsia="Times New Roman"/>
        </w:rPr>
        <w:t xml:space="preserve">RAISE THE AGE AND </w:t>
      </w:r>
      <w:r w:rsidR="00802C46" w:rsidRPr="00F61F56">
        <w:rPr>
          <w:rFonts w:eastAsia="Times New Roman"/>
        </w:rPr>
        <w:t xml:space="preserve">INCREASE THE </w:t>
      </w:r>
      <w:r w:rsidRPr="00F61F56">
        <w:rPr>
          <w:rFonts w:eastAsia="Times New Roman"/>
        </w:rPr>
        <w:t xml:space="preserve">TIME PERIOD </w:t>
      </w:r>
      <w:r w:rsidR="00802C46" w:rsidRPr="00F61F56">
        <w:rPr>
          <w:rFonts w:eastAsia="Times New Roman"/>
        </w:rPr>
        <w:t>DURING</w:t>
      </w:r>
      <w:r>
        <w:rPr>
          <w:rFonts w:eastAsia="Times New Roman"/>
        </w:rPr>
        <w:t xml:space="preserve"> WHICH A PERSON </w:t>
      </w:r>
      <w:r w:rsidR="008D32C3">
        <w:rPr>
          <w:rFonts w:eastAsia="Times New Roman"/>
        </w:rPr>
        <w:t>MUST</w:t>
      </w:r>
      <w:r>
        <w:rPr>
          <w:rFonts w:eastAsia="Times New Roman"/>
        </w:rPr>
        <w:t xml:space="preserve"> COMMENCE AN ACTION</w:t>
      </w:r>
      <w:r w:rsidRPr="00687A93">
        <w:rPr>
          <w:rFonts w:eastAsia="Times New Roman"/>
        </w:rPr>
        <w:t>;</w:t>
      </w:r>
      <w:r>
        <w:rPr>
          <w:rFonts w:eastAsia="Times New Roman"/>
        </w:rPr>
        <w:t xml:space="preserve"> TO PROVIDE THAT THE STATUTE OF LIMITATIONS IN THIS SECTION SHALL CONTROL IF THERE IS A CONFLICT BETWEEN TH</w:t>
      </w:r>
      <w:r w:rsidR="00D01BFF">
        <w:rPr>
          <w:rFonts w:eastAsia="Times New Roman"/>
        </w:rPr>
        <w:t>E</w:t>
      </w:r>
      <w:r>
        <w:rPr>
          <w:rFonts w:eastAsia="Times New Roman"/>
        </w:rPr>
        <w:t xml:space="preserve"> STATUTE OF LIMITATIONS AND AN</w:t>
      </w:r>
      <w:r w:rsidR="00D01BFF">
        <w:rPr>
          <w:rFonts w:eastAsia="Times New Roman"/>
        </w:rPr>
        <w:t xml:space="preserve">Y </w:t>
      </w:r>
      <w:r>
        <w:rPr>
          <w:rFonts w:eastAsia="Times New Roman"/>
        </w:rPr>
        <w:t xml:space="preserve">OTHER STATUTE OF LIMITATIONS </w:t>
      </w:r>
      <w:r w:rsidR="00D01BFF">
        <w:rPr>
          <w:rFonts w:eastAsia="Times New Roman"/>
        </w:rPr>
        <w:t>WHEN THE ACTION INVOLVES THE RECOVERY OF DAMAGES FOR AN INJURY ARISING OUT OF AN ACT OF SEXUAL ASSAULT, SEXUAL ABUSE, OR INCEST</w:t>
      </w:r>
      <w:r w:rsidR="00802C46">
        <w:rPr>
          <w:rFonts w:eastAsia="Times New Roman"/>
        </w:rPr>
        <w:t>;</w:t>
      </w:r>
      <w:r w:rsidR="00754D3A">
        <w:rPr>
          <w:rFonts w:eastAsia="Times New Roman"/>
        </w:rPr>
        <w:t xml:space="preserve"> AND TO PROVIDE THAT AN ACTION THAT </w:t>
      </w:r>
      <w:r w:rsidR="00754D3A" w:rsidRPr="005365A6">
        <w:rPr>
          <w:rFonts w:eastAsia="Calibri"/>
        </w:rPr>
        <w:t xml:space="preserve">WOULD OTHERWISE BE TIME-BARRED BEFORE THE EFFECTIVE DATE OF THIS </w:t>
      </w:r>
      <w:r w:rsidR="00754D3A">
        <w:rPr>
          <w:rFonts w:eastAsia="Calibri"/>
        </w:rPr>
        <w:t>ACT</w:t>
      </w:r>
      <w:r w:rsidR="00754D3A" w:rsidRPr="005365A6">
        <w:rPr>
          <w:rFonts w:eastAsia="Calibri"/>
        </w:rPr>
        <w:t xml:space="preserve">, MAY BE COMMENCED WITHIN ONE YEAR OF THE EFFECTIVE DATE OF THIS </w:t>
      </w:r>
      <w:r w:rsidR="00754D3A">
        <w:rPr>
          <w:rFonts w:eastAsia="Calibri"/>
        </w:rPr>
        <w:t>ACT; AND</w:t>
      </w:r>
      <w:r w:rsidR="00D01BFF">
        <w:rPr>
          <w:rFonts w:eastAsia="Times New Roman"/>
        </w:rPr>
        <w:t xml:space="preserve"> </w:t>
      </w:r>
      <w:r w:rsidR="00F61F56">
        <w:rPr>
          <w:rFonts w:eastAsia="Times New Roman"/>
        </w:rPr>
        <w:t>TO AMEND SECTION 15-78-110, SO AS TO PROVIDE FOR AN EXCEPTION TO THE TWO-YEAR STATUTE OF LIMITATIONS FOR ACTIONS RELATING TO TORT CLAIMS AGAINST THE STATE OR A POLITICAL SUBDIVISION OF THE STATE</w:t>
      </w:r>
      <w:r w:rsidR="00D01BFF" w:rsidRPr="005365A6">
        <w:rPr>
          <w:rFonts w:eastAsia="Calibri"/>
        </w:rPr>
        <w:t>.</w:t>
      </w:r>
    </w:p>
    <w:p w14:paraId="1F767E8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FE115DA" w14:textId="77777777" w:rsidR="008A2957" w:rsidRDefault="008A29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101BFF" w14:textId="77777777" w:rsidR="008A2957" w:rsidRDefault="008A29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ECA46" w14:textId="77777777" w:rsidR="00EB5433" w:rsidRDefault="008A2957"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Times New Roman"/>
        </w:rPr>
        <w:t>SECTION</w:t>
      </w:r>
      <w:r>
        <w:rPr>
          <w:rFonts w:eastAsia="Times New Roman"/>
        </w:rPr>
        <w:tab/>
        <w:t>1.</w:t>
      </w:r>
      <w:r>
        <w:rPr>
          <w:rFonts w:eastAsia="Times New Roman"/>
        </w:rPr>
        <w:tab/>
      </w:r>
      <w:r w:rsidR="00EB5433" w:rsidRPr="005365A6">
        <w:rPr>
          <w:rFonts w:eastAsia="Calibri"/>
        </w:rPr>
        <w:t xml:space="preserve">Section 15-3-555 of the 1976 Code is amended to read: </w:t>
      </w:r>
    </w:p>
    <w:p w14:paraId="4472A197" w14:textId="77777777" w:rsidR="00EB5433" w:rsidRPr="005365A6" w:rsidRDefault="00EB5433"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p>
    <w:p w14:paraId="7CAE069A" w14:textId="222F2631" w:rsidR="00EB5433" w:rsidRPr="005365A6" w:rsidRDefault="00A51624"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t>“Section 15-3-555.</w:t>
      </w:r>
      <w:r>
        <w:rPr>
          <w:rFonts w:eastAsia="Calibri"/>
        </w:rPr>
        <w:tab/>
      </w:r>
      <w:r w:rsidR="00EB5433" w:rsidRPr="005365A6">
        <w:rPr>
          <w:rFonts w:eastAsia="Calibri"/>
        </w:rPr>
        <w:t>(A)</w:t>
      </w:r>
      <w:r w:rsidR="00EB5433" w:rsidRPr="005365A6">
        <w:rPr>
          <w:rFonts w:eastAsia="Calibri"/>
        </w:rPr>
        <w:tab/>
        <w:t xml:space="preserve">An action to recover damages for injury to a person arising out of an act of sexual </w:t>
      </w:r>
      <w:r w:rsidR="00EB5433" w:rsidRPr="005365A6">
        <w:rPr>
          <w:rFonts w:eastAsia="Calibri"/>
          <w:u w:val="single"/>
        </w:rPr>
        <w:t>assault, sexual</w:t>
      </w:r>
      <w:r w:rsidR="00EB5433" w:rsidRPr="005365A6">
        <w:rPr>
          <w:rFonts w:eastAsia="Calibri"/>
        </w:rPr>
        <w:t xml:space="preserve"> abuse</w:t>
      </w:r>
      <w:r w:rsidR="00EB5433" w:rsidRPr="005365A6">
        <w:rPr>
          <w:rFonts w:eastAsia="Calibri"/>
          <w:u w:val="single"/>
        </w:rPr>
        <w:t>,</w:t>
      </w:r>
      <w:r w:rsidR="00EB5433" w:rsidRPr="005365A6">
        <w:rPr>
          <w:rFonts w:eastAsia="Calibri"/>
        </w:rPr>
        <w:t xml:space="preserve"> or incest must be commenced </w:t>
      </w:r>
      <w:r w:rsidR="00EB5433" w:rsidRPr="005365A6">
        <w:rPr>
          <w:rFonts w:eastAsia="Calibri"/>
          <w:strike/>
        </w:rPr>
        <w:t>within six years after</w:t>
      </w:r>
      <w:r w:rsidR="00EB5433" w:rsidRPr="005365A6">
        <w:rPr>
          <w:rFonts w:eastAsia="Calibri"/>
        </w:rPr>
        <w:t xml:space="preserve"> </w:t>
      </w:r>
      <w:r w:rsidR="00EB5433" w:rsidRPr="005365A6">
        <w:rPr>
          <w:rFonts w:eastAsia="Calibri"/>
          <w:u w:val="single"/>
        </w:rPr>
        <w:t>before</w:t>
      </w:r>
      <w:r w:rsidR="00EB5433" w:rsidRPr="005365A6">
        <w:rPr>
          <w:rFonts w:eastAsia="Calibri"/>
        </w:rPr>
        <w:t xml:space="preserve"> the person </w:t>
      </w:r>
      <w:r w:rsidR="00EB5433" w:rsidRPr="005365A6">
        <w:rPr>
          <w:rFonts w:eastAsia="Calibri"/>
        </w:rPr>
        <w:lastRenderedPageBreak/>
        <w:t xml:space="preserve">becomes </w:t>
      </w:r>
      <w:r w:rsidR="00EB5433" w:rsidRPr="005365A6">
        <w:rPr>
          <w:rFonts w:eastAsia="Calibri"/>
          <w:strike/>
        </w:rPr>
        <w:t>twenty-one</w:t>
      </w:r>
      <w:r w:rsidR="00EB5433" w:rsidRPr="005365A6">
        <w:rPr>
          <w:rFonts w:eastAsia="Calibri"/>
        </w:rPr>
        <w:t xml:space="preserve"> </w:t>
      </w:r>
      <w:r w:rsidR="00EB5433" w:rsidRPr="005365A6">
        <w:rPr>
          <w:rFonts w:eastAsia="Calibri"/>
          <w:u w:val="single"/>
        </w:rPr>
        <w:t>fifty-five</w:t>
      </w:r>
      <w:r w:rsidR="00EB5433" w:rsidRPr="005365A6">
        <w:rPr>
          <w:rFonts w:eastAsia="Calibri"/>
        </w:rPr>
        <w:t xml:space="preserve"> years of age or within </w:t>
      </w:r>
      <w:r w:rsidR="00EB5433" w:rsidRPr="005365A6">
        <w:rPr>
          <w:rFonts w:eastAsia="Calibri"/>
          <w:strike/>
        </w:rPr>
        <w:t>three</w:t>
      </w:r>
      <w:r w:rsidR="00EB5433" w:rsidRPr="005365A6">
        <w:rPr>
          <w:rFonts w:eastAsia="Calibri"/>
        </w:rPr>
        <w:t xml:space="preserve"> </w:t>
      </w:r>
      <w:r w:rsidR="00EB5433" w:rsidRPr="005365A6">
        <w:rPr>
          <w:rFonts w:eastAsia="Calibri"/>
          <w:u w:val="single"/>
        </w:rPr>
        <w:t>five</w:t>
      </w:r>
      <w:r w:rsidR="00EB5433" w:rsidRPr="005365A6">
        <w:rPr>
          <w:rFonts w:eastAsia="Calibri"/>
        </w:rPr>
        <w:t xml:space="preserve"> years from the time of discovery by the person of the injury and the causal relationship between the injury and the sexual </w:t>
      </w:r>
      <w:r w:rsidR="00EB5433">
        <w:rPr>
          <w:rFonts w:eastAsia="Calibri"/>
          <w:u w:val="single"/>
        </w:rPr>
        <w:t>assault, sexual</w:t>
      </w:r>
      <w:r w:rsidR="00EB5433">
        <w:rPr>
          <w:rFonts w:eastAsia="Calibri"/>
        </w:rPr>
        <w:t xml:space="preserve"> </w:t>
      </w:r>
      <w:r w:rsidR="00EB5433" w:rsidRPr="005365A6">
        <w:rPr>
          <w:rFonts w:eastAsia="Calibri"/>
        </w:rPr>
        <w:t>abuse</w:t>
      </w:r>
      <w:r w:rsidR="0060546A">
        <w:rPr>
          <w:rFonts w:eastAsia="Calibri"/>
          <w:u w:val="single"/>
        </w:rPr>
        <w:t>,</w:t>
      </w:r>
      <w:r w:rsidR="00EB5433" w:rsidRPr="005365A6">
        <w:rPr>
          <w:rFonts w:eastAsia="Calibri"/>
        </w:rPr>
        <w:t xml:space="preserve"> or incest, whichever occurs later.</w:t>
      </w:r>
    </w:p>
    <w:p w14:paraId="3B403F9A" w14:textId="1C7860AA" w:rsidR="00EB5433" w:rsidRPr="005365A6" w:rsidRDefault="00B871E9"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00EB5433" w:rsidRPr="005365A6">
        <w:rPr>
          <w:rFonts w:eastAsia="Calibri"/>
        </w:rPr>
        <w:t>(B)</w:t>
      </w:r>
      <w:r w:rsidR="00EB5433" w:rsidRPr="005365A6">
        <w:rPr>
          <w:rFonts w:eastAsia="Calibri"/>
        </w:rPr>
        <w:tab/>
        <w:t xml:space="preserve">Parental immunity is not a defense against claims based on sexual </w:t>
      </w:r>
      <w:r w:rsidR="00F01EEC">
        <w:rPr>
          <w:rFonts w:eastAsia="Calibri"/>
          <w:u w:val="single"/>
        </w:rPr>
        <w:t>assault, sexual</w:t>
      </w:r>
      <w:r w:rsidR="00F01EEC">
        <w:rPr>
          <w:rFonts w:eastAsia="Calibri"/>
        </w:rPr>
        <w:t xml:space="preserve"> </w:t>
      </w:r>
      <w:r w:rsidR="00EB5433" w:rsidRPr="005365A6">
        <w:rPr>
          <w:rFonts w:eastAsia="Calibri"/>
        </w:rPr>
        <w:t>abuse</w:t>
      </w:r>
      <w:r w:rsidR="0060546A">
        <w:rPr>
          <w:rFonts w:eastAsia="Calibri"/>
          <w:u w:val="single"/>
        </w:rPr>
        <w:t>,</w:t>
      </w:r>
      <w:r w:rsidR="00EB5433" w:rsidRPr="005365A6">
        <w:rPr>
          <w:rFonts w:eastAsia="Calibri"/>
        </w:rPr>
        <w:t xml:space="preserve"> or incest that occurred before, on, or </w:t>
      </w:r>
      <w:r w:rsidR="00697712">
        <w:rPr>
          <w:rFonts w:eastAsia="Calibri"/>
        </w:rPr>
        <w:t>a</w:t>
      </w:r>
      <w:r w:rsidR="00EB5433" w:rsidRPr="005365A6">
        <w:rPr>
          <w:rFonts w:eastAsia="Calibri"/>
        </w:rPr>
        <w:t>fter this section's effective date.</w:t>
      </w:r>
    </w:p>
    <w:p w14:paraId="2AD4C1F3" w14:textId="14B085EA" w:rsidR="00EB5433" w:rsidRDefault="00B871E9"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sidRPr="00B871E9">
        <w:rPr>
          <w:rFonts w:eastAsia="Calibri"/>
        </w:rPr>
        <w:tab/>
      </w:r>
      <w:r w:rsidR="00EB5433" w:rsidRPr="005365A6">
        <w:rPr>
          <w:rFonts w:eastAsia="Calibri"/>
          <w:u w:val="single"/>
        </w:rPr>
        <w:t>(C)</w:t>
      </w:r>
      <w:r w:rsidR="00EB5433" w:rsidRPr="00EB5433">
        <w:rPr>
          <w:rFonts w:eastAsia="Calibri"/>
        </w:rPr>
        <w:tab/>
      </w:r>
      <w:r w:rsidR="00EB5433" w:rsidRPr="005365A6">
        <w:rPr>
          <w:rFonts w:eastAsia="Calibri"/>
          <w:u w:val="single"/>
        </w:rPr>
        <w:t xml:space="preserve">The statute of limitations in subsection (A) shall control </w:t>
      </w:r>
      <w:r w:rsidR="008D32C3">
        <w:rPr>
          <w:rFonts w:eastAsia="Calibri"/>
          <w:u w:val="single"/>
        </w:rPr>
        <w:t>if</w:t>
      </w:r>
      <w:r w:rsidR="00EB5433" w:rsidRPr="005365A6">
        <w:rPr>
          <w:rFonts w:eastAsia="Calibri"/>
          <w:u w:val="single"/>
        </w:rPr>
        <w:t xml:space="preserve"> in conflict with any other statute of limitations when the action involves the recovery of damages for injury to a person arising out of an act of sexual assault, sexual abuse, or incest, including, but not limited to, claims against individuals; claims against private entities</w:t>
      </w:r>
      <w:r w:rsidR="00754D3A">
        <w:rPr>
          <w:rFonts w:eastAsia="Calibri"/>
          <w:u w:val="single"/>
        </w:rPr>
        <w:t>;</w:t>
      </w:r>
      <w:r w:rsidR="00EB5433" w:rsidRPr="005365A6">
        <w:rPr>
          <w:rFonts w:eastAsia="Calibri"/>
          <w:u w:val="single"/>
        </w:rPr>
        <w:t xml:space="preserve"> claims against the State, an agency, political subdivision, or governmental entity of the State under Chapter 78, Title 15; claims against an alleged perpetrator’s employer; claims against no</w:t>
      </w:r>
      <w:r w:rsidR="00697712">
        <w:rPr>
          <w:rFonts w:eastAsia="Calibri"/>
          <w:u w:val="single"/>
        </w:rPr>
        <w:t>t</w:t>
      </w:r>
      <w:r w:rsidR="00EB5433" w:rsidRPr="005365A6">
        <w:rPr>
          <w:rFonts w:eastAsia="Calibri"/>
          <w:u w:val="single"/>
        </w:rPr>
        <w:t>-</w:t>
      </w:r>
      <w:r w:rsidR="00697712">
        <w:rPr>
          <w:rFonts w:eastAsia="Calibri"/>
          <w:u w:val="single"/>
        </w:rPr>
        <w:t>for-</w:t>
      </w:r>
      <w:r w:rsidR="00EB5433" w:rsidRPr="005365A6">
        <w:rPr>
          <w:rFonts w:eastAsia="Calibri"/>
          <w:u w:val="single"/>
        </w:rPr>
        <w:t>profit corporations, or claims against religious institutions.</w:t>
      </w:r>
    </w:p>
    <w:p w14:paraId="20A3F3EF" w14:textId="34E2EB86" w:rsidR="0060546A" w:rsidRPr="00D23ED9" w:rsidRDefault="00B871E9"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0060546A">
        <w:rPr>
          <w:rFonts w:eastAsia="Calibri"/>
          <w:u w:val="single"/>
        </w:rPr>
        <w:t>(D)</w:t>
      </w:r>
      <w:r w:rsidR="0060546A" w:rsidRPr="0060546A">
        <w:rPr>
          <w:rFonts w:eastAsia="Calibri"/>
        </w:rPr>
        <w:tab/>
      </w:r>
      <w:r w:rsidR="0060546A" w:rsidRPr="0060546A">
        <w:rPr>
          <w:rFonts w:eastAsia="Calibri"/>
          <w:u w:val="single"/>
        </w:rPr>
        <w:t>Notwithstanding any other provision of law, any action to recover damages for injury to a person arising out of an act of sexual assault, sexual abuse, or incest</w:t>
      </w:r>
      <w:r w:rsidR="00754D3A">
        <w:rPr>
          <w:rFonts w:eastAsia="Calibri"/>
          <w:u w:val="single"/>
        </w:rPr>
        <w:t>,</w:t>
      </w:r>
      <w:r w:rsidR="0060546A" w:rsidRPr="0060546A">
        <w:rPr>
          <w:rFonts w:eastAsia="Calibri"/>
          <w:u w:val="single"/>
        </w:rPr>
        <w:t xml:space="preserve"> that has not been litigated to finality and that would otherwise be time-barred before the effective date of this </w:t>
      </w:r>
      <w:r w:rsidR="008D32C3">
        <w:rPr>
          <w:rFonts w:eastAsia="Calibri"/>
          <w:u w:val="single"/>
        </w:rPr>
        <w:t>section</w:t>
      </w:r>
      <w:r w:rsidR="0060546A" w:rsidRPr="0060546A">
        <w:rPr>
          <w:rFonts w:eastAsia="Calibri"/>
          <w:u w:val="single"/>
        </w:rPr>
        <w:t>, may be commenced within one year of the effective date of this act.</w:t>
      </w:r>
      <w:r w:rsidR="00754D3A">
        <w:rPr>
          <w:rFonts w:eastAsia="Calibri"/>
        </w:rPr>
        <w:t>”</w:t>
      </w:r>
    </w:p>
    <w:p w14:paraId="3F215A4C" w14:textId="12C2914D" w:rsidR="00EB5433" w:rsidRPr="005365A6" w:rsidRDefault="00A51624"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SECTION</w:t>
      </w:r>
      <w:r>
        <w:rPr>
          <w:rFonts w:eastAsia="Calibri"/>
        </w:rPr>
        <w:tab/>
      </w:r>
      <w:r w:rsidR="008D32C3">
        <w:rPr>
          <w:rFonts w:eastAsia="Calibri"/>
        </w:rPr>
        <w:t>2</w:t>
      </w:r>
      <w:r>
        <w:rPr>
          <w:rFonts w:eastAsia="Calibri"/>
        </w:rPr>
        <w:t>.</w:t>
      </w:r>
      <w:r>
        <w:rPr>
          <w:rFonts w:eastAsia="Calibri"/>
        </w:rPr>
        <w:tab/>
      </w:r>
      <w:r w:rsidR="008D32C3">
        <w:rPr>
          <w:rFonts w:eastAsia="Calibri"/>
        </w:rPr>
        <w:t xml:space="preserve">Section </w:t>
      </w:r>
      <w:r w:rsidR="00EB5433" w:rsidRPr="005365A6">
        <w:rPr>
          <w:rFonts w:eastAsia="Calibri"/>
        </w:rPr>
        <w:t xml:space="preserve">15-78-110 of the 1976 Code is amended to read: </w:t>
      </w:r>
    </w:p>
    <w:p w14:paraId="7D91F956" w14:textId="009EC3BF" w:rsidR="00EB5433" w:rsidRPr="005365A6" w:rsidRDefault="00A51624"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00EB5433" w:rsidRPr="005365A6">
        <w:rPr>
          <w:rFonts w:eastAsia="Calibri"/>
        </w:rPr>
        <w:t>“Section 15-78-110.</w:t>
      </w:r>
      <w:r w:rsidR="00D8256D">
        <w:rPr>
          <w:rFonts w:eastAsia="Calibri"/>
        </w:rPr>
        <w:tab/>
      </w:r>
      <w:r w:rsidR="00EB5433" w:rsidRPr="005365A6">
        <w:rPr>
          <w:rFonts w:eastAsia="Calibri"/>
        </w:rPr>
        <w:t xml:space="preserve">Except as provided </w:t>
      </w:r>
      <w:r w:rsidR="00EB5433" w:rsidRPr="008D32C3">
        <w:rPr>
          <w:rFonts w:eastAsia="Calibri"/>
          <w:strike/>
        </w:rPr>
        <w:t>for</w:t>
      </w:r>
      <w:r w:rsidR="00EB5433" w:rsidRPr="005365A6">
        <w:rPr>
          <w:rFonts w:eastAsia="Calibri"/>
        </w:rPr>
        <w:t xml:space="preserve"> in </w:t>
      </w:r>
      <w:r w:rsidR="00EB5433" w:rsidRPr="005365A6">
        <w:rPr>
          <w:rFonts w:eastAsia="Calibri"/>
          <w:strike/>
        </w:rPr>
        <w:t>Section</w:t>
      </w:r>
      <w:r w:rsidR="00EB5433" w:rsidRPr="005365A6">
        <w:rPr>
          <w:rFonts w:eastAsia="Calibri"/>
        </w:rPr>
        <w:t xml:space="preserve"> </w:t>
      </w:r>
      <w:r w:rsidR="00EB5433" w:rsidRPr="005365A6">
        <w:rPr>
          <w:rFonts w:eastAsia="Calibri"/>
          <w:u w:val="single"/>
        </w:rPr>
        <w:t>Sections</w:t>
      </w:r>
      <w:r w:rsidR="00EB5433" w:rsidRPr="005365A6">
        <w:rPr>
          <w:rFonts w:eastAsia="Calibri"/>
        </w:rPr>
        <w:t xml:space="preserve"> 15-3-40 </w:t>
      </w:r>
      <w:r w:rsidR="00EB5433" w:rsidRPr="005365A6">
        <w:rPr>
          <w:rFonts w:eastAsia="Calibri"/>
          <w:u w:val="single"/>
        </w:rPr>
        <w:t>and 15-3-555</w:t>
      </w:r>
      <w:r w:rsidR="00EB5433" w:rsidRPr="005365A6">
        <w:rPr>
          <w:rFonts w:eastAsia="Calibri"/>
        </w:rPr>
        <w:t>,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p>
    <w:p w14:paraId="6D4D0EE2" w14:textId="29362725" w:rsidR="008A2957" w:rsidRPr="00522CE0" w:rsidRDefault="008A29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32C3">
        <w:rPr>
          <w:rFonts w:eastAsia="Times New Roman"/>
        </w:rPr>
        <w:t>3</w:t>
      </w:r>
      <w:r>
        <w:rPr>
          <w:rFonts w:eastAsia="Times New Roman"/>
        </w:rPr>
        <w:t>.</w:t>
      </w:r>
      <w:r>
        <w:rPr>
          <w:rFonts w:eastAsia="Times New Roman"/>
        </w:rPr>
        <w:tab/>
        <w:t>This act takes effect upon approval by the Governor</w:t>
      </w:r>
      <w:r w:rsidR="00D00B4C">
        <w:rPr>
          <w:rFonts w:eastAsia="Times New Roman"/>
        </w:rPr>
        <w:t xml:space="preserve">, except for Section 15-3-555(D), which takes effect </w:t>
      </w:r>
      <w:r w:rsidR="00BD4944">
        <w:rPr>
          <w:rFonts w:eastAsia="Times New Roman"/>
        </w:rPr>
        <w:t>six</w:t>
      </w:r>
      <w:r w:rsidR="00D00B4C">
        <w:rPr>
          <w:rFonts w:eastAsia="Times New Roman"/>
        </w:rPr>
        <w:t xml:space="preserve"> months after approval by the Governor</w:t>
      </w:r>
      <w:r>
        <w:rPr>
          <w:rFonts w:eastAsia="Times New Roman"/>
        </w:rPr>
        <w:t>.</w:t>
      </w:r>
    </w:p>
    <w:p w14:paraId="3A26B8FF" w14:textId="5306E6D6" w:rsidR="00C325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D3E2C9F" w14:textId="77777777" w:rsidR="005C1DA5" w:rsidRDefault="005C1DA5" w:rsidP="005C1DA5">
      <w:pPr>
        <w:suppressAutoHyphens/>
        <w:jc w:val="both"/>
        <w:rPr>
          <w:rFonts w:eastAsia="Times New Roman"/>
        </w:rPr>
      </w:pPr>
    </w:p>
    <w:sectPr w:rsidR="005C1DA5" w:rsidSect="005C1D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DF552" w14:textId="77777777" w:rsidR="00F61F56" w:rsidRDefault="00F61F56" w:rsidP="00522CE0">
      <w:r>
        <w:separator/>
      </w:r>
    </w:p>
  </w:endnote>
  <w:endnote w:type="continuationSeparator" w:id="0">
    <w:p w14:paraId="57A16380" w14:textId="77777777" w:rsidR="00F61F56" w:rsidRDefault="00F61F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B19168-B1E9-4294-AAB5-DC4F798EC276}"/>
    <w:embedBold r:id="rId2" w:fontKey="{69BACB47-BE6D-4F97-8B92-1EDEBD7B5749}"/>
  </w:font>
  <w:font w:name="Calibri">
    <w:panose1 w:val="020F0502020204030204"/>
    <w:charset w:val="00"/>
    <w:family w:val="swiss"/>
    <w:pitch w:val="variable"/>
    <w:sig w:usb0="E0002EFF" w:usb1="C000247B" w:usb2="00000009" w:usb3="00000000" w:csb0="000001FF" w:csb1="00000000"/>
    <w:embedRegular r:id="rId3" w:fontKey="{D2434888-BA7B-4802-8837-633FC02376C1}"/>
    <w:embedBold r:id="rId4" w:fontKey="{7C6ACAF8-9F4E-4F37-820B-2BE3CA9AD70F}"/>
  </w:font>
  <w:font w:name="Segoe UI">
    <w:panose1 w:val="020B0502040204020203"/>
    <w:charset w:val="00"/>
    <w:family w:val="swiss"/>
    <w:pitch w:val="variable"/>
    <w:sig w:usb0="E4002EFF" w:usb1="C000E47F" w:usb2="00000009" w:usb3="00000000" w:csb0="000001FF" w:csb1="00000000"/>
    <w:embedRegular r:id="rId5" w:fontKey="{DD6E6EAD-7EC8-4A35-94C2-4C327109FBC8}"/>
  </w:font>
  <w:font w:name="Cambria">
    <w:panose1 w:val="02040503050406030204"/>
    <w:charset w:val="00"/>
    <w:family w:val="roman"/>
    <w:pitch w:val="variable"/>
    <w:sig w:usb0="E00006FF" w:usb1="420024FF" w:usb2="02000000" w:usb3="00000000" w:csb0="0000019F" w:csb1="00000000"/>
    <w:embedRegular r:id="rId6" w:fontKey="{BF977B20-F516-4602-82D9-5A307C876C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2D78" w14:textId="1E4D0CB5" w:rsidR="005C1DA5" w:rsidRPr="003A1E0D" w:rsidRDefault="005C1DA5" w:rsidP="003A1E0D">
    <w:pPr>
      <w:pStyle w:val="Footer"/>
      <w:tabs>
        <w:tab w:val="clear" w:pos="4680"/>
        <w:tab w:val="clear" w:pos="9360"/>
        <w:tab w:val="center" w:pos="2995"/>
      </w:tabs>
      <w:spacing w:before="120"/>
    </w:pPr>
    <w:r>
      <w:t>[1008]</w:t>
    </w:r>
    <w:r>
      <w:tab/>
    </w:r>
    <w:r>
      <w:fldChar w:fldCharType="begin"/>
    </w:r>
    <w:r>
      <w:instrText xml:space="preserve"> PAGE  \* MERGEFORMAT </w:instrText>
    </w:r>
    <w:r>
      <w:fldChar w:fldCharType="separate"/>
    </w:r>
    <w:r w:rsidR="000F03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3A2C5" w14:textId="77777777" w:rsidR="00F61F56" w:rsidRDefault="00F61F56" w:rsidP="00522CE0">
      <w:r>
        <w:separator/>
      </w:r>
    </w:p>
  </w:footnote>
  <w:footnote w:type="continuationSeparator" w:id="0">
    <w:p w14:paraId="28CE3440" w14:textId="77777777" w:rsidR="00F61F56" w:rsidRDefault="00F61F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2.SW"/>
    <w:docVar w:name="CoverAttorneyInitials" w:val="SW"/>
    <w:docVar w:name="CoverAttorneyLastName" w:val="Wilkinson"/>
    <w:docVar w:name="CoverBillType" w:val="b"/>
    <w:docVar w:name="DraftFileName" w:val="JUD0082.SW.DOCX"/>
    <w:docVar w:name="DraftStenoName" w:val="Henry"/>
    <w:docVar w:name="dvBillNumber" w:val="1008"/>
    <w:docVar w:name="dvBillNumberPrefix" w:val="S. "/>
    <w:docVar w:name="dvOriginalBody" w:val="Senate"/>
    <w:docVar w:name="fulldraftpath" w:val="L:\S-JUD\BILLS\Malloy\JUD0082.SW.DOCX"/>
    <w:docVar w:name="NameofBody" w:val="S"/>
    <w:docVar w:name="SenatorFolderName" w:val="Malloy"/>
    <w:docVar w:name="VGROUP2" w:val="S-JUD"/>
  </w:docVars>
  <w:rsids>
    <w:rsidRoot w:val="008A2957"/>
    <w:rsid w:val="000141EB"/>
    <w:rsid w:val="00042AC1"/>
    <w:rsid w:val="00046516"/>
    <w:rsid w:val="000A4D08"/>
    <w:rsid w:val="000A6988"/>
    <w:rsid w:val="000A7362"/>
    <w:rsid w:val="000B0720"/>
    <w:rsid w:val="000B5EAF"/>
    <w:rsid w:val="000D74DD"/>
    <w:rsid w:val="000E473B"/>
    <w:rsid w:val="000F002B"/>
    <w:rsid w:val="000F03B9"/>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244C2"/>
    <w:rsid w:val="00333DF1"/>
    <w:rsid w:val="0033541C"/>
    <w:rsid w:val="00364389"/>
    <w:rsid w:val="003A1E0D"/>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C1DA5"/>
    <w:rsid w:val="005F15E4"/>
    <w:rsid w:val="00600221"/>
    <w:rsid w:val="0060546A"/>
    <w:rsid w:val="00606D23"/>
    <w:rsid w:val="00617BF0"/>
    <w:rsid w:val="00641A16"/>
    <w:rsid w:val="00642CC6"/>
    <w:rsid w:val="006431BA"/>
    <w:rsid w:val="00697712"/>
    <w:rsid w:val="006B4B3C"/>
    <w:rsid w:val="006B716A"/>
    <w:rsid w:val="006C74EA"/>
    <w:rsid w:val="00720D40"/>
    <w:rsid w:val="0073026D"/>
    <w:rsid w:val="007311B4"/>
    <w:rsid w:val="007318D4"/>
    <w:rsid w:val="00746551"/>
    <w:rsid w:val="00754D3A"/>
    <w:rsid w:val="0076552B"/>
    <w:rsid w:val="00765784"/>
    <w:rsid w:val="00785E76"/>
    <w:rsid w:val="007A4390"/>
    <w:rsid w:val="007C65B0"/>
    <w:rsid w:val="007E3B8F"/>
    <w:rsid w:val="007E5CB7"/>
    <w:rsid w:val="00802C46"/>
    <w:rsid w:val="00814EED"/>
    <w:rsid w:val="008314D2"/>
    <w:rsid w:val="00834860"/>
    <w:rsid w:val="00866858"/>
    <w:rsid w:val="008804AE"/>
    <w:rsid w:val="00894939"/>
    <w:rsid w:val="008A2957"/>
    <w:rsid w:val="008B2F42"/>
    <w:rsid w:val="008D32C3"/>
    <w:rsid w:val="008E185F"/>
    <w:rsid w:val="008E5870"/>
    <w:rsid w:val="008F023B"/>
    <w:rsid w:val="008F7524"/>
    <w:rsid w:val="00904E16"/>
    <w:rsid w:val="009120DF"/>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1624"/>
    <w:rsid w:val="00A86015"/>
    <w:rsid w:val="00AE59C8"/>
    <w:rsid w:val="00AF088A"/>
    <w:rsid w:val="00B030B6"/>
    <w:rsid w:val="00B10098"/>
    <w:rsid w:val="00B10E10"/>
    <w:rsid w:val="00B35389"/>
    <w:rsid w:val="00B43327"/>
    <w:rsid w:val="00B450FF"/>
    <w:rsid w:val="00B47304"/>
    <w:rsid w:val="00B50A88"/>
    <w:rsid w:val="00B66C95"/>
    <w:rsid w:val="00B67A46"/>
    <w:rsid w:val="00B871E9"/>
    <w:rsid w:val="00B945C5"/>
    <w:rsid w:val="00BA20EA"/>
    <w:rsid w:val="00BB754E"/>
    <w:rsid w:val="00BC0A56"/>
    <w:rsid w:val="00BD4944"/>
    <w:rsid w:val="00C001B9"/>
    <w:rsid w:val="00C23348"/>
    <w:rsid w:val="00C3251B"/>
    <w:rsid w:val="00C6454A"/>
    <w:rsid w:val="00C74052"/>
    <w:rsid w:val="00CB187A"/>
    <w:rsid w:val="00CD1843"/>
    <w:rsid w:val="00CD7C71"/>
    <w:rsid w:val="00D00B4C"/>
    <w:rsid w:val="00D01BFF"/>
    <w:rsid w:val="00D05246"/>
    <w:rsid w:val="00D1088B"/>
    <w:rsid w:val="00D123BB"/>
    <w:rsid w:val="00D156D2"/>
    <w:rsid w:val="00D23ED9"/>
    <w:rsid w:val="00D76415"/>
    <w:rsid w:val="00D77EC0"/>
    <w:rsid w:val="00D81563"/>
    <w:rsid w:val="00D8256D"/>
    <w:rsid w:val="00D86943"/>
    <w:rsid w:val="00DA1AEA"/>
    <w:rsid w:val="00DA47B9"/>
    <w:rsid w:val="00DD5E14"/>
    <w:rsid w:val="00DF4940"/>
    <w:rsid w:val="00E677A1"/>
    <w:rsid w:val="00E91E2F"/>
    <w:rsid w:val="00EA3546"/>
    <w:rsid w:val="00EA5F4F"/>
    <w:rsid w:val="00EB1AAC"/>
    <w:rsid w:val="00EB47AE"/>
    <w:rsid w:val="00EB5433"/>
    <w:rsid w:val="00EC34E1"/>
    <w:rsid w:val="00ED0AE1"/>
    <w:rsid w:val="00EE5297"/>
    <w:rsid w:val="00F01EEC"/>
    <w:rsid w:val="00F0234A"/>
    <w:rsid w:val="00F52959"/>
    <w:rsid w:val="00F532D4"/>
    <w:rsid w:val="00F55884"/>
    <w:rsid w:val="00F61F56"/>
    <w:rsid w:val="00F63E98"/>
    <w:rsid w:val="00F72C3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209388C"/>
  <w15:docId w15:val="{6CBC291A-98F0-4074-B723-DB3C03FFF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A51624"/>
    <w:rPr>
      <w:sz w:val="16"/>
      <w:szCs w:val="16"/>
    </w:rPr>
  </w:style>
  <w:style w:type="paragraph" w:styleId="CommentText">
    <w:name w:val="annotation text"/>
    <w:basedOn w:val="Normal"/>
    <w:link w:val="CommentTextChar"/>
    <w:uiPriority w:val="99"/>
    <w:semiHidden/>
    <w:unhideWhenUsed/>
    <w:rsid w:val="00A51624"/>
    <w:rPr>
      <w:sz w:val="20"/>
      <w:szCs w:val="20"/>
    </w:rPr>
  </w:style>
  <w:style w:type="character" w:customStyle="1" w:styleId="CommentTextChar">
    <w:name w:val="Comment Text Char"/>
    <w:basedOn w:val="DefaultParagraphFont"/>
    <w:link w:val="CommentText"/>
    <w:uiPriority w:val="99"/>
    <w:semiHidden/>
    <w:rsid w:val="00A51624"/>
    <w:rPr>
      <w:sz w:val="20"/>
      <w:szCs w:val="20"/>
    </w:rPr>
  </w:style>
  <w:style w:type="paragraph" w:styleId="CommentSubject">
    <w:name w:val="annotation subject"/>
    <w:basedOn w:val="CommentText"/>
    <w:next w:val="CommentText"/>
    <w:link w:val="CommentSubjectChar"/>
    <w:uiPriority w:val="99"/>
    <w:semiHidden/>
    <w:unhideWhenUsed/>
    <w:rsid w:val="00A51624"/>
    <w:rPr>
      <w:b/>
      <w:bCs/>
    </w:rPr>
  </w:style>
  <w:style w:type="character" w:customStyle="1" w:styleId="CommentSubjectChar">
    <w:name w:val="Comment Subject Char"/>
    <w:basedOn w:val="CommentTextChar"/>
    <w:link w:val="CommentSubject"/>
    <w:uiPriority w:val="99"/>
    <w:semiHidden/>
    <w:rsid w:val="00A51624"/>
    <w:rPr>
      <w:b/>
      <w:bCs/>
      <w:sz w:val="20"/>
      <w:szCs w:val="20"/>
    </w:rPr>
  </w:style>
  <w:style w:type="paragraph" w:styleId="BalloonText">
    <w:name w:val="Balloon Text"/>
    <w:basedOn w:val="Normal"/>
    <w:link w:val="BalloonTextChar"/>
    <w:uiPriority w:val="99"/>
    <w:semiHidden/>
    <w:unhideWhenUsed/>
    <w:rsid w:val="00A51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24"/>
    <w:rPr>
      <w:rFonts w:ascii="Segoe UI" w:hAnsi="Segoe UI" w:cs="Segoe UI"/>
      <w:sz w:val="18"/>
      <w:szCs w:val="18"/>
    </w:rPr>
  </w:style>
  <w:style w:type="character" w:styleId="Hyperlink">
    <w:name w:val="Hyperlink"/>
    <w:basedOn w:val="DefaultParagraphFont"/>
    <w:uiPriority w:val="99"/>
    <w:unhideWhenUsed/>
    <w:rsid w:val="005C1D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8&amp;session=123&amp;summary=B" TargetMode="External"/><Relationship Id="rId3" Type="http://schemas.openxmlformats.org/officeDocument/2006/relationships/webSettings" Target="webSettings.xml"/><Relationship Id="rId7" Type="http://schemas.openxmlformats.org/officeDocument/2006/relationships/hyperlink" Target="file:///h:\sj\20200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08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1008: Subject not yet available - South Carolina Legislature Online</dc:title>
  <dc:subject/>
  <dc:creator>Sharon Wilkinson</dc:creator>
  <cp:keywords/>
  <dc:description/>
  <cp:lastModifiedBy>S Wilson</cp:lastModifiedBy>
  <cp:revision>2</cp:revision>
  <cp:lastPrinted>2020-01-07T15:46:00Z</cp:lastPrinted>
  <dcterms:created xsi:type="dcterms:W3CDTF">2020-01-27T18:24:00Z</dcterms:created>
  <dcterms:modified xsi:type="dcterms:W3CDTF">2020-01-27T18:24:00Z</dcterms:modified>
</cp:coreProperties>
</file>