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07B0">
        <w:rPr>
          <w:rFonts w:eastAsia="Times New Roman" w:cs="Times New Roman"/>
          <w:b/>
          <w:szCs w:val="20"/>
        </w:rPr>
        <w:t>South Carolina General Assembly</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07B0">
        <w:rPr>
          <w:rFonts w:eastAsia="Times New Roman" w:cs="Times New Roman"/>
          <w:szCs w:val="20"/>
        </w:rPr>
        <w:t>123rd Session, 2019-2020</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7B0" w:rsidRPr="00CE07B0" w:rsidRDefault="00E12A12"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A154, R170, H3210</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07B0">
        <w:rPr>
          <w:rFonts w:eastAsia="Times New Roman" w:cs="Times New Roman"/>
          <w:b/>
          <w:szCs w:val="20"/>
        </w:rPr>
        <w:t>STATUS INFORMATION</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07B0">
        <w:rPr>
          <w:rFonts w:eastAsia="Times New Roman" w:cs="Times New Roman"/>
          <w:szCs w:val="20"/>
        </w:rPr>
        <w:t>General Bill</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07B0">
        <w:rPr>
          <w:rFonts w:eastAsia="Times New Roman" w:cs="Times New Roman"/>
          <w:szCs w:val="20"/>
        </w:rPr>
        <w:t>Sponsors: Reps. Loftis, Clyburn, Collins, Burns, Clary, W. Cox, Morgan, Hyde, Stringer, Elliott, B. Cox, Gagnon, Caskey, Bannister, Willis, Sottile, Stavrinakis, Daning, Blackwell, Taylor, Forrester, Fry, West, Finlay, Simrill, V.S. Moss, Bryant, Bales, D.C. Moss, Erickson, Herbkersman, Whitmire and Weeks</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07B0">
        <w:rPr>
          <w:rFonts w:eastAsia="Times New Roman" w:cs="Times New Roman"/>
          <w:szCs w:val="20"/>
        </w:rPr>
        <w:t>Document Path: l:\council\bills\nbd\11052dg19.docx</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07B0">
        <w:rPr>
          <w:rFonts w:eastAsia="Times New Roman" w:cs="Times New Roman"/>
          <w:szCs w:val="20"/>
        </w:rPr>
        <w:t>Companion/Similar bill(s): 185</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4E0F" w:rsidRDefault="00C84E0F"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C84E0F" w:rsidRDefault="00C84E0F"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C84E0F" w:rsidRDefault="00C84E0F"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23, 2020</w:t>
      </w:r>
    </w:p>
    <w:p w:rsidR="00C84E0F" w:rsidRDefault="00C84E0F"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C84E0F" w:rsidRDefault="00C84E0F"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25, 2020, Signed</w:t>
      </w:r>
    </w:p>
    <w:p w:rsidR="00C84E0F" w:rsidRDefault="00C84E0F"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07B0">
        <w:rPr>
          <w:rFonts w:eastAsia="Times New Roman" w:cs="Times New Roman"/>
          <w:szCs w:val="20"/>
        </w:rPr>
        <w:t>Summary: CARES Act</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7B0" w:rsidRPr="00CE07B0" w:rsidRDefault="00CE07B0" w:rsidP="00CE07B0">
      <w:pPr>
        <w:widowControl w:val="0"/>
        <w:tabs>
          <w:tab w:val="center" w:pos="590"/>
          <w:tab w:val="center" w:pos="1440"/>
          <w:tab w:val="left" w:pos="1872"/>
          <w:tab w:val="left" w:pos="9187"/>
        </w:tabs>
        <w:rPr>
          <w:rFonts w:eastAsia="Times New Roman" w:cs="Times New Roman"/>
          <w:szCs w:val="20"/>
        </w:rPr>
      </w:pPr>
      <w:r w:rsidRPr="00CE07B0">
        <w:rPr>
          <w:rFonts w:eastAsia="Times New Roman" w:cs="Times New Roman"/>
          <w:b/>
          <w:szCs w:val="20"/>
        </w:rPr>
        <w:t>HISTORY OF LEGISLATIVE ACTIONS</w:t>
      </w:r>
    </w:p>
    <w:p w:rsidR="00CE07B0" w:rsidRPr="00CE07B0" w:rsidRDefault="00CE07B0" w:rsidP="00CE07B0">
      <w:pPr>
        <w:widowControl w:val="0"/>
        <w:tabs>
          <w:tab w:val="center" w:pos="590"/>
          <w:tab w:val="center" w:pos="1440"/>
          <w:tab w:val="left" w:pos="1872"/>
          <w:tab w:val="left" w:pos="9187"/>
        </w:tabs>
        <w:rPr>
          <w:rFonts w:eastAsia="Times New Roman" w:cs="Times New Roman"/>
          <w:szCs w:val="20"/>
        </w:rPr>
      </w:pPr>
    </w:p>
    <w:p w:rsidR="00CE07B0" w:rsidRPr="00CE07B0" w:rsidRDefault="00CE07B0" w:rsidP="00CE07B0">
      <w:pPr>
        <w:widowControl w:val="0"/>
        <w:tabs>
          <w:tab w:val="center" w:pos="590"/>
          <w:tab w:val="center" w:pos="1440"/>
          <w:tab w:val="left" w:pos="1872"/>
          <w:tab w:val="left" w:pos="9187"/>
        </w:tabs>
        <w:rPr>
          <w:rFonts w:eastAsia="Times New Roman" w:cs="Times New Roman"/>
          <w:szCs w:val="20"/>
        </w:rPr>
      </w:pPr>
      <w:r w:rsidRPr="00CE07B0">
        <w:rPr>
          <w:rFonts w:eastAsia="Times New Roman" w:cs="Times New Roman"/>
          <w:szCs w:val="20"/>
          <w:u w:val="single"/>
        </w:rPr>
        <w:tab/>
        <w:t>Date</w:t>
      </w:r>
      <w:r w:rsidRPr="00CE07B0">
        <w:rPr>
          <w:rFonts w:eastAsia="Times New Roman" w:cs="Times New Roman"/>
          <w:szCs w:val="20"/>
          <w:u w:val="single"/>
        </w:rPr>
        <w:tab/>
        <w:t>Body</w:t>
      </w:r>
      <w:r w:rsidRPr="00CE07B0">
        <w:rPr>
          <w:rFonts w:eastAsia="Times New Roman" w:cs="Times New Roman"/>
          <w:szCs w:val="20"/>
          <w:u w:val="single"/>
        </w:rPr>
        <w:tab/>
        <w:t>Action Description with journal page number</w:t>
      </w:r>
      <w:r w:rsidRPr="00CE07B0">
        <w:rPr>
          <w:rFonts w:eastAsia="Times New Roman" w:cs="Times New Roman"/>
          <w:szCs w:val="20"/>
          <w:u w:val="single"/>
        </w:rPr>
        <w:tab/>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Prefiled</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 xml:space="preserve">Referred to Committee on </w:t>
      </w:r>
      <w:r w:rsidRPr="00A65BA7">
        <w:rPr>
          <w:rFonts w:cs="Times New Roman"/>
          <w:b/>
        </w:rPr>
        <w:t>Labor, Commerce and Industry</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Introduced and read first time (</w:t>
      </w:r>
      <w:hyperlink r:id="rId7" w:history="1">
        <w:r w:rsidRPr="00A65BA7">
          <w:rPr>
            <w:rStyle w:val="Hyperlink"/>
            <w:rFonts w:cs="Times New Roman"/>
          </w:rPr>
          <w:t>House Journal</w:t>
        </w:r>
        <w:r w:rsidRPr="00A65BA7">
          <w:rPr>
            <w:rStyle w:val="Hyperlink"/>
            <w:rFonts w:cs="Times New Roman"/>
          </w:rPr>
          <w:noBreakHyphen/>
          <w:t>page 128</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 xml:space="preserve">Referred to Committee on </w:t>
      </w:r>
      <w:r w:rsidRPr="00A65BA7">
        <w:rPr>
          <w:rFonts w:cs="Times New Roman"/>
          <w:b/>
        </w:rPr>
        <w:t>Labor, Commerce and Industry</w:t>
      </w:r>
      <w:r>
        <w:rPr>
          <w:rFonts w:cs="Times New Roman"/>
        </w:rPr>
        <w:t xml:space="preserve"> (</w:t>
      </w:r>
      <w:hyperlink r:id="rId8" w:history="1">
        <w:r w:rsidRPr="00A65BA7">
          <w:rPr>
            <w:rStyle w:val="Hyperlink"/>
            <w:rFonts w:cs="Times New Roman"/>
          </w:rPr>
          <w:t>House Journal</w:t>
        </w:r>
        <w:r w:rsidRPr="00A65BA7">
          <w:rPr>
            <w:rStyle w:val="Hyperlink"/>
            <w:rFonts w:cs="Times New Roman"/>
          </w:rPr>
          <w:noBreakHyphen/>
          <w:t>page 128</w:t>
        </w:r>
      </w:hyperlink>
      <w:bookmarkStart w:id="0" w:name="_GoBack"/>
      <w:bookmarkEnd w:id="0"/>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t>Member(s) request name added as sponsor: Collins</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Member(s) request name added as sponsor: Burns</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 xml:space="preserve">Recalled from Committee on </w:t>
      </w:r>
      <w:r w:rsidRPr="00A65BA7">
        <w:rPr>
          <w:rFonts w:cs="Times New Roman"/>
          <w:b/>
        </w:rPr>
        <w:t>Labor, Commerce and Industry</w:t>
      </w:r>
      <w:r>
        <w:rPr>
          <w:rFonts w:cs="Times New Roman"/>
        </w:rPr>
        <w:t xml:space="preserve"> (</w:t>
      </w:r>
      <w:hyperlink r:id="rId9" w:history="1">
        <w:r w:rsidRPr="00A65BA7">
          <w:rPr>
            <w:rStyle w:val="Hyperlink"/>
            <w:rFonts w:cs="Times New Roman"/>
          </w:rPr>
          <w:t>House Journal</w:t>
        </w:r>
        <w:r w:rsidRPr="00A65BA7">
          <w:rPr>
            <w:rStyle w:val="Hyperlink"/>
            <w:rFonts w:cs="Times New Roman"/>
          </w:rPr>
          <w:noBreakHyphen/>
          <w:t>page 31</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 xml:space="preserve">Committed to Committee on </w:t>
      </w:r>
      <w:r w:rsidRPr="00A65BA7">
        <w:rPr>
          <w:rFonts w:cs="Times New Roman"/>
          <w:b/>
        </w:rPr>
        <w:t>Ways and Means</w:t>
      </w:r>
      <w:r>
        <w:rPr>
          <w:rFonts w:cs="Times New Roman"/>
        </w:rPr>
        <w:t xml:space="preserve"> (</w:t>
      </w:r>
      <w:hyperlink r:id="rId10" w:history="1">
        <w:r w:rsidRPr="00A65BA7">
          <w:rPr>
            <w:rStyle w:val="Hyperlink"/>
            <w:rFonts w:cs="Times New Roman"/>
          </w:rPr>
          <w:t>House Journal</w:t>
        </w:r>
        <w:r w:rsidRPr="00A65BA7">
          <w:rPr>
            <w:rStyle w:val="Hyperlink"/>
            <w:rFonts w:cs="Times New Roman"/>
          </w:rPr>
          <w:noBreakHyphen/>
          <w:t>page 31</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t>Member(s) request name added as sponsor: Clary, W.Cox, Morgan, Hyde, Stringer</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t>Member(s) request name added as sponsor: Elliott, B.Cox, Gagnon, Caskey, Bannister, Willis, Sottile, Stavrinakis, Daning, Blackwell, Taylor, Forrester, Fry, West, Finlay, Simrill, V.S.Moss, Bryant, Bales, D.C.Moss, Erickson, Herbkersman, Whitmire</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t>
      </w:r>
      <w:r w:rsidRPr="00A65BA7">
        <w:rPr>
          <w:rFonts w:cs="Times New Roman"/>
          <w:b/>
        </w:rPr>
        <w:t>Ways and Means</w:t>
      </w:r>
      <w:r>
        <w:rPr>
          <w:rFonts w:cs="Times New Roman"/>
        </w:rPr>
        <w:t xml:space="preserve"> (</w:t>
      </w:r>
      <w:hyperlink r:id="rId11" w:history="1">
        <w:r w:rsidRPr="00A65BA7">
          <w:rPr>
            <w:rStyle w:val="Hyperlink"/>
            <w:rFonts w:cs="Times New Roman"/>
          </w:rPr>
          <w:t>House Journal</w:t>
        </w:r>
        <w:r w:rsidRPr="00A65BA7">
          <w:rPr>
            <w:rStyle w:val="Hyperlink"/>
            <w:rFonts w:cs="Times New Roman"/>
          </w:rPr>
          <w:noBreakHyphen/>
          <w:t>page 39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Member(s) request name added as sponsor: Weeks</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2" w:history="1">
        <w:r w:rsidRPr="00A65BA7">
          <w:rPr>
            <w:rStyle w:val="Hyperlink"/>
            <w:rFonts w:cs="Times New Roman"/>
          </w:rPr>
          <w:t>House Journal</w:t>
        </w:r>
        <w:r w:rsidRPr="00A65BA7">
          <w:rPr>
            <w:rStyle w:val="Hyperlink"/>
            <w:rFonts w:cs="Times New Roman"/>
          </w:rPr>
          <w:noBreakHyphen/>
          <w:t>page 30</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99  Nays</w:t>
      </w:r>
      <w:r>
        <w:rPr>
          <w:rFonts w:cs="Times New Roman"/>
        </w:rPr>
        <w:noBreakHyphen/>
        <w:t>3 (</w:t>
      </w:r>
      <w:hyperlink r:id="rId13" w:history="1">
        <w:r w:rsidRPr="00A65BA7">
          <w:rPr>
            <w:rStyle w:val="Hyperlink"/>
            <w:rFonts w:cs="Times New Roman"/>
          </w:rPr>
          <w:t>House Journal</w:t>
        </w:r>
        <w:r w:rsidRPr="00A65BA7">
          <w:rPr>
            <w:rStyle w:val="Hyperlink"/>
            <w:rFonts w:cs="Times New Roman"/>
          </w:rPr>
          <w:noBreakHyphen/>
          <w:t>page 30</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4" w:history="1">
        <w:r w:rsidRPr="00A65BA7">
          <w:rPr>
            <w:rStyle w:val="Hyperlink"/>
            <w:rFonts w:cs="Times New Roman"/>
          </w:rPr>
          <w:t>House Journal</w:t>
        </w:r>
        <w:r w:rsidRPr="00A65BA7">
          <w:rPr>
            <w:rStyle w:val="Hyperlink"/>
            <w:rFonts w:cs="Times New Roman"/>
          </w:rPr>
          <w:noBreakHyphen/>
          <w:t>page 8</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Introduced and read first time (</w:t>
      </w:r>
      <w:hyperlink r:id="rId15" w:history="1">
        <w:r w:rsidRPr="00A65BA7">
          <w:rPr>
            <w:rStyle w:val="Hyperlink"/>
            <w:rFonts w:cs="Times New Roman"/>
          </w:rPr>
          <w:t>Senate Journal</w:t>
        </w:r>
        <w:r w:rsidRPr="00A65BA7">
          <w:rPr>
            <w:rStyle w:val="Hyperlink"/>
            <w:rFonts w:cs="Times New Roman"/>
          </w:rPr>
          <w:noBreakHyphen/>
          <w:t>page 13</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A65BA7">
        <w:rPr>
          <w:rFonts w:cs="Times New Roman"/>
          <w:b/>
        </w:rPr>
        <w:t>Finance</w:t>
      </w:r>
      <w:r>
        <w:rPr>
          <w:rFonts w:cs="Times New Roman"/>
        </w:rPr>
        <w:t xml:space="preserve"> (</w:t>
      </w:r>
      <w:hyperlink r:id="rId16" w:history="1">
        <w:r w:rsidRPr="00A65BA7">
          <w:rPr>
            <w:rStyle w:val="Hyperlink"/>
            <w:rFonts w:cs="Times New Roman"/>
          </w:rPr>
          <w:t>Senate Journal</w:t>
        </w:r>
        <w:r w:rsidRPr="00A65BA7">
          <w:rPr>
            <w:rStyle w:val="Hyperlink"/>
            <w:rFonts w:cs="Times New Roman"/>
          </w:rPr>
          <w:noBreakHyphen/>
          <w:t>page 13</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 xml:space="preserve">Committee report: Favorable with amendment </w:t>
      </w:r>
      <w:r w:rsidRPr="00A65BA7">
        <w:rPr>
          <w:rFonts w:cs="Times New Roman"/>
          <w:b/>
        </w:rPr>
        <w:t>Finance</w:t>
      </w:r>
      <w:r>
        <w:rPr>
          <w:rFonts w:cs="Times New Roman"/>
        </w:rPr>
        <w:t xml:space="preserve"> (</w:t>
      </w:r>
      <w:hyperlink r:id="rId17" w:history="1">
        <w:r w:rsidRPr="00A65BA7">
          <w:rPr>
            <w:rStyle w:val="Hyperlink"/>
            <w:rFonts w:cs="Times New Roman"/>
          </w:rPr>
          <w:t>Senate Journal</w:t>
        </w:r>
        <w:r w:rsidRPr="00A65BA7">
          <w:rPr>
            <w:rStyle w:val="Hyperlink"/>
            <w:rFonts w:cs="Times New Roman"/>
          </w:rPr>
          <w:noBreakHyphen/>
          <w:t>page 10</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Committee Amendment Adopted (</w:t>
      </w:r>
      <w:hyperlink r:id="rId18" w:history="1">
        <w:r w:rsidRPr="00A65BA7">
          <w:rPr>
            <w:rStyle w:val="Hyperlink"/>
            <w:rFonts w:cs="Times New Roman"/>
          </w:rPr>
          <w:t>Senate Journal</w:t>
        </w:r>
        <w:r w:rsidRPr="00A65BA7">
          <w:rPr>
            <w:rStyle w:val="Hyperlink"/>
            <w:rFonts w:cs="Times New Roman"/>
          </w:rPr>
          <w:noBreakHyphen/>
          <w:t>page 59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Amended (</w:t>
      </w:r>
      <w:hyperlink r:id="rId19" w:history="1">
        <w:r w:rsidRPr="00A65BA7">
          <w:rPr>
            <w:rStyle w:val="Hyperlink"/>
            <w:rFonts w:cs="Times New Roman"/>
          </w:rPr>
          <w:t>Senate Journal</w:t>
        </w:r>
        <w:r w:rsidRPr="00A65BA7">
          <w:rPr>
            <w:rStyle w:val="Hyperlink"/>
            <w:rFonts w:cs="Times New Roman"/>
          </w:rPr>
          <w:noBreakHyphen/>
          <w:t>page 59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second time (</w:t>
      </w:r>
      <w:hyperlink r:id="rId20" w:history="1">
        <w:r w:rsidRPr="00A65BA7">
          <w:rPr>
            <w:rStyle w:val="Hyperlink"/>
            <w:rFonts w:cs="Times New Roman"/>
          </w:rPr>
          <w:t>Senate Journal</w:t>
        </w:r>
        <w:r w:rsidRPr="00A65BA7">
          <w:rPr>
            <w:rStyle w:val="Hyperlink"/>
            <w:rFonts w:cs="Times New Roman"/>
          </w:rPr>
          <w:noBreakHyphen/>
          <w:t>page 59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Roll call Ayes</w:t>
      </w:r>
      <w:r>
        <w:rPr>
          <w:rFonts w:cs="Times New Roman"/>
        </w:rPr>
        <w:noBreakHyphen/>
        <w:t>40  Nays</w:t>
      </w:r>
      <w:r>
        <w:rPr>
          <w:rFonts w:cs="Times New Roman"/>
        </w:rPr>
        <w:noBreakHyphen/>
        <w:t>2 (</w:t>
      </w:r>
      <w:hyperlink r:id="rId21" w:history="1">
        <w:r w:rsidRPr="00A65BA7">
          <w:rPr>
            <w:rStyle w:val="Hyperlink"/>
            <w:rFonts w:cs="Times New Roman"/>
          </w:rPr>
          <w:t>Senate Journal</w:t>
        </w:r>
        <w:r w:rsidRPr="00A65BA7">
          <w:rPr>
            <w:rStyle w:val="Hyperlink"/>
            <w:rFonts w:cs="Times New Roman"/>
          </w:rPr>
          <w:noBreakHyphen/>
          <w:t>page 59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Unanimous consent for third reading on next legislative day</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lastRenderedPageBreak/>
        <w:tab/>
        <w:t>9/16/2020</w:t>
      </w:r>
      <w:r>
        <w:rPr>
          <w:rFonts w:cs="Times New Roman"/>
        </w:rPr>
        <w:tab/>
        <w:t>Senate</w:t>
      </w:r>
      <w:r>
        <w:rPr>
          <w:rFonts w:cs="Times New Roman"/>
        </w:rPr>
        <w:tab/>
        <w:t>Read third time and returned to House with amendments (</w:t>
      </w:r>
      <w:hyperlink r:id="rId22" w:history="1">
        <w:r w:rsidRPr="00A65BA7">
          <w:rPr>
            <w:rStyle w:val="Hyperlink"/>
            <w:rFonts w:cs="Times New Roman"/>
          </w:rPr>
          <w:t>Senate Journal</w:t>
        </w:r>
        <w:r w:rsidRPr="00A65BA7">
          <w:rPr>
            <w:rStyle w:val="Hyperlink"/>
            <w:rFonts w:cs="Times New Roman"/>
          </w:rPr>
          <w:noBreakHyphen/>
          <w:t>page 17</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Senate amendment amended (</w:t>
      </w:r>
      <w:hyperlink r:id="rId23" w:history="1">
        <w:r w:rsidRPr="00A65BA7">
          <w:rPr>
            <w:rStyle w:val="Hyperlink"/>
            <w:rFonts w:cs="Times New Roman"/>
          </w:rPr>
          <w:t>House Journal</w:t>
        </w:r>
        <w:r w:rsidRPr="00A65BA7">
          <w:rPr>
            <w:rStyle w:val="Hyperlink"/>
            <w:rFonts w:cs="Times New Roman"/>
          </w:rPr>
          <w:noBreakHyphen/>
          <w:t>page 19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Roll call Yeas</w:t>
      </w:r>
      <w:r>
        <w:rPr>
          <w:rFonts w:cs="Times New Roman"/>
        </w:rPr>
        <w:noBreakHyphen/>
        <w:t>112  Nays</w:t>
      </w:r>
      <w:r>
        <w:rPr>
          <w:rFonts w:cs="Times New Roman"/>
        </w:rPr>
        <w:noBreakHyphen/>
        <w:t>2 (</w:t>
      </w:r>
      <w:hyperlink r:id="rId24" w:history="1">
        <w:r w:rsidRPr="00A65BA7">
          <w:rPr>
            <w:rStyle w:val="Hyperlink"/>
            <w:rFonts w:cs="Times New Roman"/>
          </w:rPr>
          <w:t>House Journal</w:t>
        </w:r>
        <w:r w:rsidRPr="00A65BA7">
          <w:rPr>
            <w:rStyle w:val="Hyperlink"/>
            <w:rFonts w:cs="Times New Roman"/>
          </w:rPr>
          <w:noBreakHyphen/>
          <w:t>page 19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Returned to Senate with amendments (</w:t>
      </w:r>
      <w:hyperlink r:id="rId25" w:history="1">
        <w:r w:rsidRPr="00A65BA7">
          <w:rPr>
            <w:rStyle w:val="Hyperlink"/>
            <w:rFonts w:cs="Times New Roman"/>
          </w:rPr>
          <w:t>House Journal</w:t>
        </w:r>
        <w:r w:rsidRPr="00A65BA7">
          <w:rPr>
            <w:rStyle w:val="Hyperlink"/>
            <w:rFonts w:cs="Times New Roman"/>
          </w:rPr>
          <w:noBreakHyphen/>
          <w:t>page 19</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9/17/2020</w:t>
      </w:r>
      <w:r>
        <w:rPr>
          <w:rFonts w:cs="Times New Roman"/>
        </w:rPr>
        <w:tab/>
        <w:t>Senate</w:t>
      </w:r>
      <w:r>
        <w:rPr>
          <w:rFonts w:cs="Times New Roman"/>
        </w:rPr>
        <w:tab/>
        <w:t>Non</w:t>
      </w:r>
      <w:r>
        <w:rPr>
          <w:rFonts w:cs="Times New Roman"/>
        </w:rPr>
        <w:noBreakHyphen/>
        <w:t>concurrence in House amendment (</w:t>
      </w:r>
      <w:hyperlink r:id="rId26" w:history="1">
        <w:r w:rsidRPr="00A65BA7">
          <w:rPr>
            <w:rStyle w:val="Hyperlink"/>
            <w:rFonts w:cs="Times New Roman"/>
          </w:rPr>
          <w:t>Senate Journal</w:t>
        </w:r>
        <w:r w:rsidRPr="00A65BA7">
          <w:rPr>
            <w:rStyle w:val="Hyperlink"/>
            <w:rFonts w:cs="Times New Roman"/>
          </w:rPr>
          <w:noBreakHyphen/>
          <w:t>page 7</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House insists upon amendment and conference committee appointed Reps.  GM Smith, Clyburn, and Finlay (</w:t>
      </w:r>
      <w:hyperlink r:id="rId27" w:history="1">
        <w:r w:rsidRPr="00A65BA7">
          <w:rPr>
            <w:rStyle w:val="Hyperlink"/>
            <w:rFonts w:cs="Times New Roman"/>
          </w:rPr>
          <w:t>House Journal</w:t>
        </w:r>
        <w:r w:rsidRPr="00A65BA7">
          <w:rPr>
            <w:rStyle w:val="Hyperlink"/>
            <w:rFonts w:cs="Times New Roman"/>
          </w:rPr>
          <w:noBreakHyphen/>
          <w:t>page 52</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9/17/2020</w:t>
      </w:r>
      <w:r>
        <w:rPr>
          <w:rFonts w:cs="Times New Roman"/>
        </w:rPr>
        <w:tab/>
        <w:t>Senate</w:t>
      </w:r>
      <w:r>
        <w:rPr>
          <w:rFonts w:cs="Times New Roman"/>
        </w:rPr>
        <w:tab/>
        <w:t>Conference committee appointed  Alexander, Sheheen, Davis (</w:t>
      </w:r>
      <w:hyperlink r:id="rId28" w:history="1">
        <w:r w:rsidRPr="00A65BA7">
          <w:rPr>
            <w:rStyle w:val="Hyperlink"/>
            <w:rFonts w:cs="Times New Roman"/>
          </w:rPr>
          <w:t>Senate Journal</w:t>
        </w:r>
        <w:r w:rsidRPr="00A65BA7">
          <w:rPr>
            <w:rStyle w:val="Hyperlink"/>
            <w:rFonts w:cs="Times New Roman"/>
          </w:rPr>
          <w:noBreakHyphen/>
          <w:t>page 8</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Conference committee appointed  Alexander, Jackson, Davis (</w:t>
      </w:r>
      <w:hyperlink r:id="rId29" w:history="1">
        <w:r w:rsidRPr="00A65BA7">
          <w:rPr>
            <w:rStyle w:val="Hyperlink"/>
            <w:rFonts w:cs="Times New Roman"/>
          </w:rPr>
          <w:t>Senate Journal</w:t>
        </w:r>
        <w:r w:rsidRPr="00A65BA7">
          <w:rPr>
            <w:rStyle w:val="Hyperlink"/>
            <w:rFonts w:cs="Times New Roman"/>
          </w:rPr>
          <w:noBreakHyphen/>
          <w:t>page 12</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Conference report received and adopted (</w:t>
      </w:r>
      <w:hyperlink r:id="rId30" w:history="1">
        <w:r w:rsidRPr="00A65BA7">
          <w:rPr>
            <w:rStyle w:val="Hyperlink"/>
            <w:rFonts w:cs="Times New Roman"/>
          </w:rPr>
          <w:t>House Journal</w:t>
        </w:r>
        <w:r w:rsidRPr="00A65BA7">
          <w:rPr>
            <w:rStyle w:val="Hyperlink"/>
            <w:rFonts w:cs="Times New Roman"/>
          </w:rPr>
          <w:noBreakHyphen/>
          <w:t>page 12</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109  Nays</w:t>
      </w:r>
      <w:r>
        <w:rPr>
          <w:rFonts w:cs="Times New Roman"/>
        </w:rPr>
        <w:noBreakHyphen/>
        <w:t>3 (</w:t>
      </w:r>
      <w:hyperlink r:id="rId31" w:history="1">
        <w:r w:rsidRPr="00A65BA7">
          <w:rPr>
            <w:rStyle w:val="Hyperlink"/>
            <w:rFonts w:cs="Times New Roman"/>
          </w:rPr>
          <w:t>House Journal</w:t>
        </w:r>
        <w:r w:rsidRPr="00A65BA7">
          <w:rPr>
            <w:rStyle w:val="Hyperlink"/>
            <w:rFonts w:cs="Times New Roman"/>
          </w:rPr>
          <w:noBreakHyphen/>
          <w:t>page 12</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Conference report received and adopted (</w:t>
      </w:r>
      <w:hyperlink r:id="rId32" w:history="1">
        <w:r w:rsidRPr="00A65BA7">
          <w:rPr>
            <w:rStyle w:val="Hyperlink"/>
            <w:rFonts w:cs="Times New Roman"/>
          </w:rPr>
          <w:t>Senate Journal</w:t>
        </w:r>
        <w:r w:rsidRPr="00A65BA7">
          <w:rPr>
            <w:rStyle w:val="Hyperlink"/>
            <w:rFonts w:cs="Times New Roman"/>
          </w:rPr>
          <w:noBreakHyphen/>
          <w:t>page 165</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39  Nays</w:t>
      </w:r>
      <w:r>
        <w:rPr>
          <w:rFonts w:cs="Times New Roman"/>
        </w:rPr>
        <w:noBreakHyphen/>
        <w:t>2 (</w:t>
      </w:r>
      <w:hyperlink r:id="rId33" w:history="1">
        <w:r w:rsidRPr="00A65BA7">
          <w:rPr>
            <w:rStyle w:val="Hyperlink"/>
            <w:rFonts w:cs="Times New Roman"/>
          </w:rPr>
          <w:t>Senate Journal</w:t>
        </w:r>
        <w:r w:rsidRPr="00A65BA7">
          <w:rPr>
            <w:rStyle w:val="Hyperlink"/>
            <w:rFonts w:cs="Times New Roman"/>
          </w:rPr>
          <w:noBreakHyphen/>
          <w:t>page 165</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Ordered enrolled for ratification (</w:t>
      </w:r>
      <w:hyperlink r:id="rId34" w:history="1">
        <w:r w:rsidRPr="00A65BA7">
          <w:rPr>
            <w:rStyle w:val="Hyperlink"/>
            <w:rFonts w:cs="Times New Roman"/>
          </w:rPr>
          <w:t>Senate Journal</w:t>
        </w:r>
        <w:r w:rsidRPr="00A65BA7">
          <w:rPr>
            <w:rStyle w:val="Hyperlink"/>
            <w:rFonts w:cs="Times New Roman"/>
          </w:rPr>
          <w:noBreakHyphen/>
          <w:t>page 175</w:t>
        </w:r>
      </w:hyperlink>
      <w:r>
        <w:rPr>
          <w:rFonts w:cs="Times New Roman"/>
        </w:rPr>
        <w:t>)</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170</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Signed By Governor</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09/25/20</w:t>
      </w:r>
    </w:p>
    <w:p w:rsidR="00E12A12" w:rsidRDefault="00E12A12" w:rsidP="00E12A12">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154</w:t>
      </w:r>
    </w:p>
    <w:p w:rsidR="00E12A12" w:rsidRDefault="00E12A12" w:rsidP="00E12A12">
      <w:pPr>
        <w:widowControl w:val="0"/>
        <w:tabs>
          <w:tab w:val="right" w:pos="1008"/>
          <w:tab w:val="left" w:pos="1152"/>
          <w:tab w:val="left" w:pos="1872"/>
          <w:tab w:val="left" w:pos="9187"/>
        </w:tabs>
        <w:ind w:left="2088" w:hanging="2088"/>
        <w:rPr>
          <w:rFonts w:cs="Times New Roman"/>
        </w:rPr>
      </w:pPr>
    </w:p>
    <w:p w:rsidR="00CE07B0" w:rsidRPr="00CE07B0" w:rsidRDefault="00CE07B0" w:rsidP="00CE07B0">
      <w:pPr>
        <w:widowControl w:val="0"/>
        <w:tabs>
          <w:tab w:val="right" w:pos="1008"/>
          <w:tab w:val="left" w:pos="1152"/>
          <w:tab w:val="left" w:pos="1872"/>
          <w:tab w:val="left" w:pos="9187"/>
        </w:tabs>
        <w:ind w:left="2088" w:hanging="2088"/>
        <w:rPr>
          <w:rFonts w:eastAsia="Times New Roman" w:cs="Times New Roman"/>
          <w:szCs w:val="20"/>
        </w:rPr>
      </w:pPr>
      <w:r w:rsidRPr="00CE07B0">
        <w:rPr>
          <w:rFonts w:eastAsia="Times New Roman" w:cs="Times New Roman"/>
          <w:szCs w:val="20"/>
        </w:rPr>
        <w:t xml:space="preserve">View the latest </w:t>
      </w:r>
      <w:hyperlink r:id="rId35" w:history="1">
        <w:r w:rsidRPr="00CE07B0">
          <w:rPr>
            <w:rFonts w:eastAsia="Times New Roman" w:cs="Times New Roman"/>
            <w:color w:val="0000FF" w:themeColor="hyperlink"/>
            <w:szCs w:val="20"/>
            <w:u w:val="single"/>
          </w:rPr>
          <w:t>legislative information</w:t>
        </w:r>
      </w:hyperlink>
      <w:r w:rsidRPr="00CE07B0">
        <w:rPr>
          <w:rFonts w:eastAsia="Times New Roman" w:cs="Times New Roman"/>
          <w:szCs w:val="20"/>
        </w:rPr>
        <w:t xml:space="preserve"> at the website</w:t>
      </w:r>
    </w:p>
    <w:p w:rsidR="00CE07B0" w:rsidRPr="00CE07B0" w:rsidRDefault="00CE07B0" w:rsidP="00CE07B0">
      <w:pPr>
        <w:widowControl w:val="0"/>
        <w:tabs>
          <w:tab w:val="right" w:pos="1008"/>
          <w:tab w:val="left" w:pos="1152"/>
          <w:tab w:val="left" w:pos="1872"/>
          <w:tab w:val="left" w:pos="9187"/>
        </w:tabs>
        <w:ind w:left="2088" w:hanging="2088"/>
        <w:rPr>
          <w:rFonts w:eastAsia="Times New Roman" w:cs="Times New Roman"/>
          <w:szCs w:val="20"/>
        </w:rPr>
      </w:pPr>
    </w:p>
    <w:p w:rsidR="00CE07B0" w:rsidRPr="00CE07B0" w:rsidRDefault="00CE07B0" w:rsidP="00CE07B0">
      <w:pPr>
        <w:widowControl w:val="0"/>
        <w:tabs>
          <w:tab w:val="right" w:pos="1008"/>
          <w:tab w:val="left" w:pos="1152"/>
          <w:tab w:val="left" w:pos="1872"/>
          <w:tab w:val="left" w:pos="9187"/>
        </w:tabs>
        <w:ind w:left="2088" w:hanging="2088"/>
        <w:rPr>
          <w:rFonts w:eastAsia="Times New Roman" w:cs="Times New Roman"/>
          <w:szCs w:val="20"/>
        </w:rPr>
      </w:pP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07B0">
        <w:rPr>
          <w:rFonts w:eastAsia="Times New Roman" w:cs="Times New Roman"/>
          <w:b/>
          <w:szCs w:val="20"/>
        </w:rPr>
        <w:t>VERSIONS OF THIS BILL</w:t>
      </w:r>
    </w:p>
    <w:p w:rsidR="00CE07B0" w:rsidRPr="00CE07B0" w:rsidRDefault="00CE07B0"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7B0" w:rsidRPr="00CE07B0" w:rsidRDefault="00805DA4" w:rsidP="00CE0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CE07B0" w:rsidRPr="00CE07B0">
          <w:rPr>
            <w:rFonts w:eastAsia="Times New Roman" w:cs="Times New Roman"/>
            <w:color w:val="0000FF" w:themeColor="hyperlink"/>
            <w:szCs w:val="20"/>
            <w:u w:val="single"/>
          </w:rPr>
          <w:t>12/18/2018</w:t>
        </w:r>
      </w:hyperlink>
    </w:p>
    <w:p w:rsidR="00CE07B0" w:rsidRPr="00CE07B0" w:rsidRDefault="00805DA4" w:rsidP="00CE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CE07B0" w:rsidRPr="00CE07B0">
          <w:rPr>
            <w:rFonts w:eastAsia="Times New Roman" w:cs="Times New Roman"/>
            <w:color w:val="0000FF" w:themeColor="hyperlink"/>
            <w:szCs w:val="20"/>
            <w:u w:val="single"/>
          </w:rPr>
          <w:t>3/27/2019</w:t>
        </w:r>
      </w:hyperlink>
    </w:p>
    <w:p w:rsidR="00CE07B0" w:rsidRPr="00CE07B0" w:rsidRDefault="00805DA4" w:rsidP="00CE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E07B0" w:rsidRPr="00CE07B0">
          <w:rPr>
            <w:rFonts w:eastAsia="Times New Roman" w:cs="Times New Roman"/>
            <w:color w:val="0000FF" w:themeColor="hyperlink"/>
            <w:szCs w:val="20"/>
            <w:u w:val="single"/>
          </w:rPr>
          <w:t>9/15/2020</w:t>
        </w:r>
      </w:hyperlink>
    </w:p>
    <w:p w:rsidR="00CE07B0" w:rsidRPr="00CE07B0" w:rsidRDefault="00805DA4" w:rsidP="00CE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E07B0" w:rsidRPr="00CE07B0">
          <w:rPr>
            <w:rFonts w:eastAsia="Times New Roman" w:cs="Times New Roman"/>
            <w:color w:val="0000FF" w:themeColor="hyperlink"/>
            <w:szCs w:val="20"/>
            <w:u w:val="single"/>
          </w:rPr>
          <w:t>9/16/2020</w:t>
        </w:r>
      </w:hyperlink>
    </w:p>
    <w:p w:rsidR="00CE07B0" w:rsidRPr="00CE07B0" w:rsidRDefault="00805DA4" w:rsidP="00CE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E07B0" w:rsidRPr="00CE07B0">
          <w:rPr>
            <w:rFonts w:eastAsia="Times New Roman" w:cs="Times New Roman"/>
            <w:color w:val="0000FF" w:themeColor="hyperlink"/>
            <w:szCs w:val="20"/>
            <w:u w:val="single"/>
          </w:rPr>
          <w:t>9/16/2020-A</w:t>
        </w:r>
      </w:hyperlink>
    </w:p>
    <w:p w:rsidR="00CE07B0" w:rsidRPr="00CE07B0" w:rsidRDefault="00805DA4" w:rsidP="00CE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E07B0" w:rsidRPr="00CE07B0">
          <w:rPr>
            <w:rFonts w:eastAsia="Times New Roman" w:cs="Times New Roman"/>
            <w:color w:val="0000FF" w:themeColor="hyperlink"/>
            <w:szCs w:val="20"/>
            <w:u w:val="single"/>
          </w:rPr>
          <w:t>9/23/2020</w:t>
        </w:r>
      </w:hyperlink>
    </w:p>
    <w:p w:rsidR="00CE07B0" w:rsidRPr="00CE07B0" w:rsidRDefault="00CE07B0" w:rsidP="00CE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07B0" w:rsidRDefault="00CE07B0" w:rsidP="00CE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07B0" w:rsidSect="00CE07B0">
          <w:pgSz w:w="12240" w:h="15840" w:code="1"/>
          <w:pgMar w:top="1080" w:right="1440" w:bottom="1080" w:left="1440" w:header="720" w:footer="720" w:gutter="0"/>
          <w:pgNumType w:start="1"/>
          <w:cols w:space="720"/>
          <w:noEndnote/>
          <w:docGrid w:linePitch="360"/>
        </w:sectPr>
      </w:pPr>
    </w:p>
    <w:p w:rsidR="002B1EDF"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(A154, R170, H3210)</w:t>
      </w:r>
    </w:p>
    <w:p w:rsidR="002B1EDF" w:rsidRPr="008836A5"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B1EDF" w:rsidRPr="00CE07B0"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07B0">
        <w:rPr>
          <w:rFonts w:cs="Times New Roman"/>
          <w:b/>
          <w:color w:val="000000" w:themeColor="text1"/>
          <w:szCs w:val="36"/>
        </w:rPr>
        <w:t xml:space="preserve">AN ACT </w:t>
      </w:r>
      <w:r w:rsidRPr="00CE07B0">
        <w:rPr>
          <w:rFonts w:cs="Times New Roman"/>
          <w:b/>
          <w:bCs/>
          <w:szCs w:val="27"/>
        </w:rPr>
        <w:t>TO AUTHORIZE THE EXPENDITURE OF FEDERAL FUNDS DISBURSED TO THE STATE IN THE CORONAVIRUS AID, RELIEF, AND ECONOMIC SECURITY ACT, AND TO SPECIFY THE MANNER IN WHICH FUNDS MAY BE EXPENDED.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6E7BA7">
        <w:rPr>
          <w:rFonts w:cs="Times New Roman"/>
        </w:rPr>
        <w:tab/>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7BA7">
        <w:rPr>
          <w:rFonts w:cs="Times New Roman"/>
        </w:rPr>
        <w:t>Be it enacted by the General Assembly of the State of South Carolina:</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E7BA7">
        <w:rPr>
          <w:rFonts w:cs="Times New Roman"/>
          <w:snapToGrid w:val="0"/>
        </w:rPr>
        <w:t>PART I</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E7BA7">
        <w:rPr>
          <w:rFonts w:cs="Times New Roman"/>
          <w:snapToGrid w:val="0"/>
        </w:rPr>
        <w:t>Expenditure Authorizations and Reimbursement</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1.</w:t>
      </w:r>
      <w:r w:rsidRPr="006E7BA7">
        <w:rPr>
          <w:rFonts w:cs="Times New Roman"/>
          <w:snapToGrid w:val="0"/>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2.</w:t>
      </w:r>
      <w:r w:rsidRPr="006E7BA7">
        <w:rPr>
          <w:rFonts w:cs="Times New Roman"/>
          <w:snapToGrid w:val="0"/>
        </w:rPr>
        <w:tab/>
        <w:t>(A)</w:t>
      </w:r>
      <w:r w:rsidRPr="006E7BA7">
        <w:rPr>
          <w:rFonts w:cs="Times New Roman"/>
          <w:snapToGrid w:val="0"/>
        </w:rPr>
        <w:tab/>
        <w:t xml:space="preserve">The expenditure authorizations contained in SECTION 3(A), (C), and (G) are supplemental to the expenditure authorizations for the same purposes as contained in Act 142 of 2020. The remaining expenditure authorizations contained in SECTION 3 may be reimbursed by the Executive Budget Office from the Coronavirus Relief Fund. </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(B)</w:t>
      </w:r>
      <w:r w:rsidRPr="006E7BA7">
        <w:rPr>
          <w:rFonts w:cs="Times New Roman"/>
          <w:snapToGrid w:val="0"/>
        </w:rPr>
        <w:tab/>
        <w:t xml:space="preserve">State agencies, institutions of higher learning, including technical colleges, counties, municipalities, special purpose districts, and hospitals shall maximize the use of federal funds made available in this </w:t>
      </w:r>
      <w:r>
        <w:rPr>
          <w:rFonts w:cs="Times New Roman"/>
          <w:snapToGrid w:val="0"/>
        </w:rPr>
        <w:t>a</w:t>
      </w:r>
      <w:r w:rsidRPr="006E7BA7">
        <w:rPr>
          <w:rFonts w:cs="Times New Roman"/>
          <w:snapToGrid w:val="0"/>
        </w:rPr>
        <w:t>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(C)</w:t>
      </w:r>
      <w:r w:rsidRPr="006E7BA7">
        <w:rPr>
          <w:rFonts w:cs="Times New Roman"/>
          <w:snapToGrid w:val="0"/>
        </w:rPr>
        <w:tab/>
        <w:t xml:space="preserve">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w:t>
      </w:r>
      <w:r w:rsidRPr="006E7BA7">
        <w:rPr>
          <w:rFonts w:cs="Times New Roman"/>
          <w:snapToGrid w:val="0"/>
        </w:rPr>
        <w:lastRenderedPageBreak/>
        <w:t>manager. State agencies, and institutions of higher learning, including technical colleges, shall submit to the Executive Budget Office a detailed budget plan for any funding received that is related to COVID</w:t>
      </w:r>
      <w:r>
        <w:rPr>
          <w:rFonts w:cs="Times New Roman"/>
          <w:snapToGrid w:val="0"/>
        </w:rPr>
        <w:noBreakHyphen/>
      </w:r>
      <w:r w:rsidRPr="006E7BA7">
        <w:rPr>
          <w:rFonts w:cs="Times New Roman"/>
          <w:snapToGrid w:val="0"/>
        </w:rPr>
        <w:t>19, regardless of the source. Counties, municipalities, special purpose districts, hospitals, and independent colleges and universities shall submit to the Executive Budget Office information sufficient to identify other COVID</w:t>
      </w:r>
      <w:r>
        <w:rPr>
          <w:rFonts w:cs="Times New Roman"/>
          <w:snapToGrid w:val="0"/>
        </w:rPr>
        <w:noBreakHyphen/>
      </w:r>
      <w:r w:rsidRPr="006E7BA7">
        <w:rPr>
          <w:rFonts w:cs="Times New Roman"/>
          <w:snapToGrid w:val="0"/>
        </w:rPr>
        <w:t>19</w:t>
      </w:r>
      <w:r>
        <w:rPr>
          <w:rFonts w:cs="Times New Roman"/>
          <w:snapToGrid w:val="0"/>
        </w:rPr>
        <w:noBreakHyphen/>
      </w:r>
      <w:r w:rsidRPr="006E7BA7">
        <w:rPr>
          <w:rFonts w:cs="Times New Roman"/>
          <w:snapToGrid w:val="0"/>
        </w:rPr>
        <w:t>related funding that they are receiving, regardless of the source, and provide a detailed accounting of how the funding is being used.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3.</w:t>
      </w:r>
      <w:r w:rsidRPr="006E7BA7">
        <w:rPr>
          <w:rFonts w:cs="Times New Roman"/>
          <w:snapToGrid w:val="0"/>
        </w:rPr>
        <w:tab/>
        <w:t>State agencies and higher education institutions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public and private hospitals, nonprofit and minority and small businesses.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(A)</w:t>
      </w:r>
      <w:r w:rsidRPr="006E7BA7">
        <w:rPr>
          <w:rFonts w:cs="Times New Roman"/>
          <w:snapToGrid w:val="0"/>
        </w:rPr>
        <w:tab/>
        <w:t>Department of Health and Environmental Control</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Pr>
          <w:rFonts w:cs="Times New Roman"/>
          <w:snapToGrid w:val="0"/>
        </w:rPr>
        <w:tab/>
      </w:r>
      <w:r>
        <w:rPr>
          <w:rFonts w:cs="Times New Roman"/>
          <w:snapToGrid w:val="0"/>
        </w:rPr>
        <w:tab/>
      </w:r>
      <w:r w:rsidRPr="006E7BA7">
        <w:rPr>
          <w:rFonts w:cs="Times New Roman"/>
          <w:snapToGrid w:val="0"/>
        </w:rPr>
        <w:tab/>
        <w:t>Statewide Testing and Monitoring</w:t>
      </w:r>
      <w:r w:rsidRPr="006E7BA7">
        <w:rPr>
          <w:rFonts w:cs="Times New Roman"/>
          <w:snapToGrid w:val="0"/>
        </w:rPr>
        <w:tab/>
      </w:r>
      <w:r w:rsidRPr="006E7BA7">
        <w:rPr>
          <w:rFonts w:cs="Times New Roman"/>
          <w:snapToGrid w:val="0"/>
        </w:rPr>
        <w:tab/>
      </w:r>
      <w:r w:rsidRPr="006E7BA7">
        <w:rPr>
          <w:rFonts w:cs="Times New Roman"/>
          <w:snapToGrid w:val="0"/>
        </w:rPr>
        <w:tab/>
        <w:t>$ 73,022,613;</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(B)</w:t>
      </w:r>
      <w:r w:rsidRPr="006E7BA7">
        <w:rPr>
          <w:rFonts w:cs="Times New Roman"/>
          <w:snapToGrid w:val="0"/>
        </w:rPr>
        <w:tab/>
        <w:t>Medical University of South Carolina</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Statewide Testing</w:t>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Pr>
          <w:rFonts w:cs="Times New Roman"/>
          <w:snapToGrid w:val="0"/>
        </w:rPr>
        <w:tab/>
      </w:r>
      <w:r w:rsidRPr="006E7BA7">
        <w:rPr>
          <w:rFonts w:cs="Times New Roman"/>
          <w:snapToGrid w:val="0"/>
        </w:rPr>
        <w:t>$ 20,150,000;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(C)</w:t>
      </w:r>
      <w:r w:rsidRPr="006E7BA7">
        <w:rPr>
          <w:rFonts w:cs="Times New Roman"/>
          <w:snapToGrid w:val="0"/>
        </w:rPr>
        <w:tab/>
        <w:t>Department of Employment and Workforce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Unemployment Trust Fund</w:t>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Pr>
          <w:rFonts w:cs="Times New Roman"/>
          <w:snapToGrid w:val="0"/>
        </w:rPr>
        <w:tab/>
      </w:r>
      <w:r w:rsidRPr="006E7BA7">
        <w:rPr>
          <w:rFonts w:cs="Times New Roman"/>
          <w:snapToGrid w:val="0"/>
        </w:rPr>
        <w:t>$420,000,000;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(E)</w:t>
      </w:r>
      <w:r w:rsidRPr="006E7BA7">
        <w:rPr>
          <w:rFonts w:cs="Times New Roman"/>
          <w:snapToGrid w:val="0"/>
        </w:rPr>
        <w:tab/>
        <w:t>Department of Administration</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Nonprofit Relief Program</w:t>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Pr>
          <w:rFonts w:cs="Times New Roman"/>
          <w:snapToGrid w:val="0"/>
        </w:rPr>
        <w:tab/>
      </w:r>
      <w:r w:rsidRPr="006E7BA7">
        <w:rPr>
          <w:rFonts w:cs="Times New Roman"/>
          <w:snapToGrid w:val="0"/>
        </w:rPr>
        <w:t>$ 25,000,000;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(F)</w:t>
      </w:r>
      <w:r w:rsidRPr="006E7BA7">
        <w:rPr>
          <w:rFonts w:cs="Times New Roman"/>
          <w:snapToGrid w:val="0"/>
        </w:rPr>
        <w:tab/>
        <w:t>Department of Administration</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Minority and Small Business Relief</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Program</w:t>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r>
      <w:r>
        <w:rPr>
          <w:rFonts w:cs="Times New Roman"/>
          <w:snapToGrid w:val="0"/>
        </w:rPr>
        <w:tab/>
      </w:r>
      <w:r>
        <w:rPr>
          <w:rFonts w:cs="Times New Roman"/>
          <w:snapToGrid w:val="0"/>
        </w:rPr>
        <w:tab/>
      </w:r>
      <w:r w:rsidRPr="006E7BA7">
        <w:rPr>
          <w:rFonts w:cs="Times New Roman"/>
          <w:snapToGrid w:val="0"/>
        </w:rPr>
        <w:t>$ 40,000,000;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(G)</w:t>
      </w:r>
      <w:r w:rsidRPr="006E7BA7">
        <w:rPr>
          <w:rFonts w:cs="Times New Roman"/>
          <w:snapToGrid w:val="0"/>
        </w:rPr>
        <w:tab/>
        <w:t>Department of Administration</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 xml:space="preserve">State, Local Government, Independent </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 xml:space="preserve">College and University Expenditures </w:t>
      </w:r>
      <w:r w:rsidRPr="006E7BA7">
        <w:rPr>
          <w:rFonts w:cs="Times New Roman"/>
          <w:snapToGrid w:val="0"/>
        </w:rPr>
        <w:tab/>
        <w:t>$115,000,000</w:t>
      </w:r>
      <w:r>
        <w:rPr>
          <w:rFonts w:cs="Times New Roman"/>
          <w:snapToGrid w:val="0"/>
        </w:rPr>
        <w:t>.</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E7BA7">
        <w:rPr>
          <w:rFonts w:cs="Times New Roman"/>
          <w:snapToGrid w:val="0"/>
        </w:rPr>
        <w:t>PART II</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6E7BA7">
        <w:rPr>
          <w:rFonts w:cs="Times New Roman"/>
          <w:snapToGrid w:val="0"/>
        </w:rPr>
        <w:t>Directives to Receiving Entities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4.</w:t>
      </w:r>
      <w:r w:rsidRPr="006E7BA7">
        <w:rPr>
          <w:rFonts w:cs="Times New Roman"/>
          <w:snapToGrid w:val="0"/>
        </w:rPr>
        <w:tab/>
        <w:t>The Department of Education is authorized to utilize unexpended authorizations contained</w:t>
      </w:r>
      <w:r>
        <w:rPr>
          <w:rFonts w:cs="Times New Roman"/>
          <w:snapToGrid w:val="0"/>
        </w:rPr>
        <w:t xml:space="preserve"> in</w:t>
      </w:r>
      <w:r w:rsidRPr="006E7BA7">
        <w:rPr>
          <w:rFonts w:cs="Times New Roman"/>
          <w:snapToGrid w:val="0"/>
        </w:rPr>
        <w:t xml:space="preserve"> Section 3(B) of Act 142 of 2020 for the costs associated with the following:</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lastRenderedPageBreak/>
        <w:tab/>
        <w:t>(1)</w:t>
      </w:r>
      <w:r w:rsidRPr="006E7BA7">
        <w:rPr>
          <w:rFonts w:cs="Times New Roman"/>
          <w:snapToGrid w:val="0"/>
        </w:rPr>
        <w:tab/>
        <w:t>School safety measures taken in response to COVID</w:t>
      </w:r>
      <w:r>
        <w:rPr>
          <w:rFonts w:cs="Times New Roman"/>
          <w:snapToGrid w:val="0"/>
        </w:rPr>
        <w:noBreakHyphen/>
      </w:r>
      <w:r w:rsidRPr="006E7BA7">
        <w:rPr>
          <w:rFonts w:cs="Times New Roman"/>
          <w:snapToGrid w:val="0"/>
        </w:rPr>
        <w:t>19 including, but not limited to, purchasing masks, gloves, wipes, hand sanitizer, face shields, cleaning solution, Plexiglas, and other cleaning equipment and supplies.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(2)</w:t>
      </w:r>
      <w:r w:rsidRPr="006E7BA7">
        <w:rPr>
          <w:rFonts w:cs="Times New Roman"/>
          <w:snapToGrid w:val="0"/>
        </w:rPr>
        <w:tab/>
        <w:t>Additional expenses incurred by Virtual SC in response to COVID</w:t>
      </w:r>
      <w:r>
        <w:rPr>
          <w:rFonts w:cs="Times New Roman"/>
          <w:snapToGrid w:val="0"/>
        </w:rPr>
        <w:noBreakHyphen/>
      </w:r>
      <w:r w:rsidRPr="006E7BA7">
        <w:rPr>
          <w:rFonts w:cs="Times New Roman"/>
          <w:snapToGrid w:val="0"/>
        </w:rPr>
        <w:t>19.</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(3)</w:t>
      </w:r>
      <w:r w:rsidRPr="006E7BA7">
        <w:rPr>
          <w:rFonts w:cs="Times New Roman"/>
          <w:snapToGrid w:val="0"/>
        </w:rPr>
        <w:tab/>
        <w:t>Hire or contract for school nurse services for those schools that do not have a full</w:t>
      </w:r>
      <w:r>
        <w:rPr>
          <w:rFonts w:cs="Times New Roman"/>
          <w:snapToGrid w:val="0"/>
        </w:rPr>
        <w:noBreakHyphen/>
      </w:r>
      <w:r w:rsidRPr="006E7BA7">
        <w:rPr>
          <w:rFonts w:cs="Times New Roman"/>
          <w:snapToGrid w:val="0"/>
        </w:rPr>
        <w:t>time school nurse.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(4)</w:t>
      </w:r>
      <w:r w:rsidRPr="006E7BA7">
        <w:rPr>
          <w:rFonts w:cs="Times New Roman"/>
          <w:snapToGrid w:val="0"/>
        </w:rPr>
        <w:tab/>
        <w:t>Tutoring, supplemental services, and support services to include services for unengaged students, interventionists, and after school learning extensions that prioritize face</w:t>
      </w:r>
      <w:r>
        <w:rPr>
          <w:rFonts w:cs="Times New Roman"/>
          <w:snapToGrid w:val="0"/>
        </w:rPr>
        <w:noBreakHyphen/>
      </w:r>
      <w:r w:rsidRPr="006E7BA7">
        <w:rPr>
          <w:rFonts w:cs="Times New Roman"/>
          <w:snapToGrid w:val="0"/>
        </w:rPr>
        <w:t>to</w:t>
      </w:r>
      <w:r>
        <w:rPr>
          <w:rFonts w:cs="Times New Roman"/>
          <w:snapToGrid w:val="0"/>
        </w:rPr>
        <w:noBreakHyphen/>
      </w:r>
      <w:r w:rsidRPr="006E7BA7">
        <w:rPr>
          <w:rFonts w:cs="Times New Roman"/>
          <w:snapToGrid w:val="0"/>
        </w:rPr>
        <w:t>face instruction focused on students with identified reading or math difficulties and students with IEPs to address deficits resulting from COVID</w:t>
      </w:r>
      <w:r>
        <w:rPr>
          <w:rFonts w:cs="Times New Roman"/>
          <w:snapToGrid w:val="0"/>
        </w:rPr>
        <w:noBreakHyphen/>
      </w:r>
      <w:r w:rsidRPr="006E7BA7">
        <w:rPr>
          <w:rFonts w:cs="Times New Roman"/>
          <w:snapToGrid w:val="0"/>
        </w:rPr>
        <w:t>19.</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(5)</w:t>
      </w:r>
      <w:r w:rsidRPr="006E7BA7">
        <w:rPr>
          <w:rFonts w:cs="Times New Roman"/>
          <w:snapToGrid w:val="0"/>
        </w:rPr>
        <w:tab/>
        <w:t>Technology purchases of devices and connectivity equipment to support online learning resulting from COVID</w:t>
      </w:r>
      <w:r>
        <w:rPr>
          <w:rFonts w:cs="Times New Roman"/>
          <w:snapToGrid w:val="0"/>
        </w:rPr>
        <w:noBreakHyphen/>
      </w:r>
      <w:r w:rsidRPr="006E7BA7">
        <w:rPr>
          <w:rFonts w:cs="Times New Roman"/>
          <w:snapToGrid w:val="0"/>
        </w:rPr>
        <w:t>19.</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 xml:space="preserve">It is the intent of the General Assembly that reimbursements for item (1) </w:t>
      </w:r>
      <w:r>
        <w:rPr>
          <w:rFonts w:cs="Times New Roman"/>
          <w:snapToGrid w:val="0"/>
        </w:rPr>
        <w:noBreakHyphen/>
      </w:r>
      <w:r w:rsidRPr="006E7BA7">
        <w:rPr>
          <w:rFonts w:cs="Times New Roman"/>
          <w:snapToGrid w:val="0"/>
        </w:rPr>
        <w:t xml:space="preserve"> school safety measures </w:t>
      </w:r>
      <w:r>
        <w:rPr>
          <w:rFonts w:cs="Times New Roman"/>
          <w:snapToGrid w:val="0"/>
        </w:rPr>
        <w:noBreakHyphen/>
      </w:r>
      <w:r w:rsidRPr="006E7BA7">
        <w:rPr>
          <w:rFonts w:cs="Times New Roman"/>
          <w:snapToGrid w:val="0"/>
        </w:rPr>
        <w:t xml:space="preserve"> be the </w:t>
      </w:r>
      <w:r>
        <w:rPr>
          <w:rFonts w:cs="Times New Roman"/>
          <w:snapToGrid w:val="0"/>
        </w:rPr>
        <w:t>d</w:t>
      </w:r>
      <w:r w:rsidRPr="006E7BA7">
        <w:rPr>
          <w:rFonts w:cs="Times New Roman"/>
          <w:snapToGrid w:val="0"/>
        </w:rPr>
        <w:t>epartment</w:t>
      </w:r>
      <w:r w:rsidRPr="00041126">
        <w:rPr>
          <w:rFonts w:cs="Times New Roman"/>
          <w:snapToGrid w:val="0"/>
        </w:rPr>
        <w:t>’</w:t>
      </w:r>
      <w:r w:rsidRPr="006E7BA7">
        <w:rPr>
          <w:rFonts w:cs="Times New Roman"/>
          <w:snapToGrid w:val="0"/>
        </w:rPr>
        <w:t>s first priority for reimbursement.</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r>
      <w:r w:rsidRPr="006E7BA7">
        <w:rPr>
          <w:rFonts w:eastAsia="Calibri" w:cs="Times New Roman"/>
          <w:snapToGrid w:val="0"/>
        </w:rPr>
        <w:t>5.</w:t>
      </w:r>
      <w:r w:rsidRPr="006E7BA7">
        <w:rPr>
          <w:rFonts w:eastAsia="Calibri" w:cs="Times New Roman"/>
          <w:snapToGrid w:val="0"/>
        </w:rPr>
        <w:tab/>
      </w:r>
      <w:r w:rsidRPr="006E7BA7">
        <w:rPr>
          <w:rFonts w:eastAsia="Calibri" w:cs="Times New Roman"/>
          <w:szCs w:val="27"/>
          <w:u w:color="000000"/>
        </w:rPr>
        <w:t>State agencies may apply for reimbursement in a similar manner as set forth in SECTION 6 of Act 142 of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6.</w:t>
      </w:r>
      <w:r w:rsidRPr="006E7BA7">
        <w:rPr>
          <w:rFonts w:cs="Times New Roman"/>
          <w:snapToGrid w:val="0"/>
        </w:rPr>
        <w:tab/>
        <w:t>(A)</w:t>
      </w:r>
      <w:r w:rsidRPr="006E7BA7">
        <w:rPr>
          <w:rFonts w:cs="Times New Roman"/>
          <w:snapToGrid w:val="0"/>
        </w:rPr>
        <w:tab/>
        <w:t>There is established through the SC CARES Grant Management Program a nonprofit entity reimbursement grant program with the funds authorized in Section 3(E). The program shall award grants to qualifying nonprofit entities to reimburse the qualifying nonprofit entity for some, or all, of the costs associated with qualifying expenditures incurred, or expected to be incurred, by the qualifying nonprofit entity between March 1, 2020</w:t>
      </w:r>
      <w:r>
        <w:rPr>
          <w:rFonts w:cs="Times New Roman"/>
          <w:snapToGrid w:val="0"/>
        </w:rPr>
        <w:t>,</w:t>
      </w:r>
      <w:r w:rsidRPr="006E7BA7">
        <w:rPr>
          <w:rFonts w:cs="Times New Roman"/>
          <w:snapToGrid w:val="0"/>
        </w:rPr>
        <w:t xml:space="preserve"> and December 1, 2020. A qualifying nonprofit entity may receive a grant in an amount between two thousand five hundred dollars and fifty thousand dollars. Nonprofit entities must apply for grants no later than November 1,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(B)(1)</w:t>
      </w:r>
      <w:r w:rsidRPr="006E7BA7">
        <w:rPr>
          <w:rFonts w:cs="Times New Roman"/>
          <w:snapToGrid w:val="0"/>
        </w:rPr>
        <w:tab/>
        <w:t>Applications for grants shall be made to the panel established in item (2). An applicant shall provide the panel with information concerning the applicant</w:t>
      </w:r>
      <w:r w:rsidRPr="00041126">
        <w:rPr>
          <w:rFonts w:cs="Times New Roman"/>
          <w:snapToGrid w:val="0"/>
        </w:rPr>
        <w:t>’</w:t>
      </w:r>
      <w:r w:rsidRPr="006E7BA7">
        <w:rPr>
          <w:rFonts w:cs="Times New Roman"/>
          <w:snapToGrid w:val="0"/>
        </w:rPr>
        <w:t>s expenditures for which the applicant seeks a grant. Grants shall be awarded for qualifying expenditures in amounts determined by the panel. First, priority must be given to applicants that did not receive other assistance, such as a Paycheck Protection Program loan or other CARES funds.  Then, priority shall be given to applications for expenditures related to</w:t>
      </w:r>
      <w:r>
        <w:rPr>
          <w:rFonts w:cs="Times New Roman"/>
          <w:snapToGrid w:val="0"/>
        </w:rPr>
        <w:t>:</w:t>
      </w:r>
      <w:r w:rsidRPr="006E7BA7">
        <w:rPr>
          <w:rFonts w:cs="Times New Roman"/>
          <w:snapToGrid w:val="0"/>
        </w:rPr>
        <w:t xml:space="preserve"> (1) food assistance, including prepared meals; (2) rent or mortgage assistance; (3) utilities assistance; (4) mental health counseling; (5) health care services, including access to health care supplies, mental health, and behavioral health; (6) criminal domestic </w:t>
      </w:r>
      <w:r w:rsidRPr="006E7BA7">
        <w:rPr>
          <w:rFonts w:cs="Times New Roman"/>
          <w:snapToGrid w:val="0"/>
        </w:rPr>
        <w:lastRenderedPageBreak/>
        <w:t>violence and children</w:t>
      </w:r>
      <w:r w:rsidRPr="00041126">
        <w:rPr>
          <w:rFonts w:cs="Times New Roman"/>
          <w:snapToGrid w:val="0"/>
        </w:rPr>
        <w:t>’</w:t>
      </w:r>
      <w:r w:rsidRPr="006E7BA7">
        <w:rPr>
          <w:rFonts w:cs="Times New Roman"/>
          <w:snapToGrid w:val="0"/>
        </w:rPr>
        <w:t>s advocacy services; and (7) arts and cultural items or activities.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(2)(a)</w:t>
      </w:r>
      <w:r w:rsidRPr="006E7BA7">
        <w:rPr>
          <w:rFonts w:cs="Times New Roman"/>
          <w:snapToGrid w:val="0"/>
        </w:rPr>
        <w:tab/>
        <w:t>Applications for grants shall be evaluated and awarded by a panel consisting of:</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(i)</w:t>
      </w:r>
      <w:r w:rsidRPr="006E7BA7">
        <w:rPr>
          <w:rFonts w:cs="Times New Roman"/>
          <w:snapToGrid w:val="0"/>
        </w:rPr>
        <w:tab/>
      </w:r>
      <w:r w:rsidRPr="006E7BA7">
        <w:rPr>
          <w:rFonts w:cs="Times New Roman"/>
          <w:snapToGrid w:val="0"/>
        </w:rPr>
        <w:tab/>
        <w:t>the Director of the Department of Social Services,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(ii)</w:t>
      </w:r>
      <w:r w:rsidRPr="006E7BA7">
        <w:rPr>
          <w:rFonts w:cs="Times New Roman"/>
          <w:snapToGrid w:val="0"/>
        </w:rPr>
        <w:tab/>
        <w:t>the Director of the Department of Mental Health,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(iii)</w:t>
      </w:r>
      <w:r w:rsidRPr="006E7BA7">
        <w:rPr>
          <w:rFonts w:cs="Times New Roman"/>
          <w:snapToGrid w:val="0"/>
        </w:rPr>
        <w:tab/>
        <w:t>the Director of the Department of Consumer Affairs,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(iv)</w:t>
      </w:r>
      <w:r w:rsidRPr="006E7BA7">
        <w:rPr>
          <w:rFonts w:cs="Times New Roman"/>
          <w:snapToGrid w:val="0"/>
        </w:rPr>
        <w:tab/>
        <w:t>the Director of the Department of Health and Human Services,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(v)</w:t>
      </w:r>
      <w:r w:rsidRPr="006E7BA7">
        <w:rPr>
          <w:rFonts w:cs="Times New Roman"/>
          <w:snapToGrid w:val="0"/>
        </w:rPr>
        <w:tab/>
        <w:t xml:space="preserve">the Director of the Department of Alcohol and Other Drug Abuse Services, or his designee; </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(vi)</w:t>
      </w:r>
      <w:r w:rsidRPr="006E7BA7">
        <w:rPr>
          <w:rFonts w:cs="Times New Roman"/>
          <w:snapToGrid w:val="0"/>
        </w:rPr>
        <w:tab/>
        <w:t>the Secretary of State,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(vii)</w:t>
      </w:r>
      <w:r w:rsidRPr="006E7BA7">
        <w:rPr>
          <w:rFonts w:cs="Times New Roman"/>
          <w:snapToGrid w:val="0"/>
        </w:rPr>
        <w:tab/>
        <w:t>the Director of the South Carolina Arts Commission,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r>
      <w:r>
        <w:rPr>
          <w:rFonts w:cs="Times New Roman"/>
          <w:snapToGrid w:val="0"/>
        </w:rPr>
        <w:tab/>
      </w:r>
      <w:r>
        <w:rPr>
          <w:rFonts w:cs="Times New Roman"/>
          <w:snapToGrid w:val="0"/>
        </w:rPr>
        <w:tab/>
        <w:t xml:space="preserve">(viii) </w:t>
      </w:r>
      <w:r w:rsidRPr="006E7BA7">
        <w:rPr>
          <w:rFonts w:cs="Times New Roman"/>
          <w:snapToGrid w:val="0"/>
        </w:rPr>
        <w:t>the Director of the Department of Archives and History, or his designee; and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r>
      <w:r w:rsidRPr="006E7BA7">
        <w:rPr>
          <w:rFonts w:cs="Times New Roman"/>
          <w:snapToGrid w:val="0"/>
        </w:rPr>
        <w:tab/>
        <w:t>(ix)</w:t>
      </w:r>
      <w:r w:rsidRPr="006E7BA7">
        <w:rPr>
          <w:rFonts w:cs="Times New Roman"/>
          <w:snapToGrid w:val="0"/>
        </w:rPr>
        <w:tab/>
        <w:t>the Executive Director of the South Carolina State Housing Finance and Development Authority,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t>(b)</w:t>
      </w:r>
      <w:r w:rsidRPr="006E7BA7">
        <w:rPr>
          <w:rFonts w:cs="Times New Roman"/>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w:t>
      </w:r>
      <w:r w:rsidRPr="00041126">
        <w:rPr>
          <w:rFonts w:cs="Times New Roman"/>
          <w:snapToGrid w:val="0"/>
        </w:rPr>
        <w:t>’</w:t>
      </w:r>
      <w:r w:rsidRPr="006E7BA7">
        <w:rPr>
          <w:rFonts w:cs="Times New Roman"/>
          <w:snapToGrid w:val="0"/>
        </w:rPr>
        <w:t>s meetings.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t>(c)</w:t>
      </w:r>
      <w:r w:rsidRPr="006E7BA7">
        <w:rPr>
          <w:rFonts w:cs="Times New Roman"/>
          <w:snapToGrid w:val="0"/>
        </w:rPr>
        <w:tab/>
        <w:t>The panel shall develop an application and establish criteria for the evaluation of applications that is consistent with the requirements contained herein, including the priorities identified in item (1). During its evaluation of applications, the panel shall give consideration to the geographic distribution of services provided by the qualifying expenditures so that grants are awarded on a statewide basis.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snapToGrid w:val="0"/>
        </w:rPr>
        <w:tab/>
        <w:t>(d)</w:t>
      </w:r>
      <w:r w:rsidRPr="006E7BA7">
        <w:rPr>
          <w:rFonts w:cs="Times New Roman"/>
          <w:snapToGrid w:val="0"/>
        </w:rPr>
        <w:tab/>
        <w:t>The Department of Administration shall provide staff support for the panel. The Department of Administration, in conjunction with SC CARES Grant Management Program, shall confirm that all reimbursement requests in the grant applications comply with federal CARES Act requirements.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(C)</w:t>
      </w:r>
      <w:r w:rsidRPr="006E7BA7">
        <w:rPr>
          <w:rFonts w:cs="Times New Roman"/>
          <w:snapToGrid w:val="0"/>
        </w:rPr>
        <w:tab/>
        <w:t>For the purposes of the nonprofit entity reimbursement grant program established herein:</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(1)</w:t>
      </w:r>
      <w:r w:rsidRPr="006E7BA7">
        <w:rPr>
          <w:rFonts w:cs="Times New Roman"/>
          <w:snapToGrid w:val="0"/>
        </w:rPr>
        <w:tab/>
        <w:t>“Qualifying nonprofit entity” means a 501(c)(3) that has been operating in South Carolina for at least six months prior to the Governor</w:t>
      </w:r>
      <w:r w:rsidRPr="00041126">
        <w:rPr>
          <w:rFonts w:cs="Times New Roman"/>
          <w:snapToGrid w:val="0"/>
        </w:rPr>
        <w:t>’</w:t>
      </w:r>
      <w:r w:rsidRPr="006E7BA7">
        <w:rPr>
          <w:rFonts w:cs="Times New Roman"/>
          <w:snapToGrid w:val="0"/>
        </w:rPr>
        <w:t>s initial COVID</w:t>
      </w:r>
      <w:r>
        <w:rPr>
          <w:rFonts w:cs="Times New Roman"/>
          <w:snapToGrid w:val="0"/>
        </w:rPr>
        <w:noBreakHyphen/>
      </w:r>
      <w:r w:rsidRPr="006E7BA7">
        <w:rPr>
          <w:rFonts w:cs="Times New Roman"/>
          <w:snapToGrid w:val="0"/>
        </w:rPr>
        <w:t>19 state of emergency declaration on March 13, 2020</w:t>
      </w:r>
      <w:r>
        <w:rPr>
          <w:rFonts w:cs="Times New Roman"/>
          <w:snapToGrid w:val="0"/>
        </w:rPr>
        <w:t>.</w:t>
      </w:r>
    </w:p>
    <w:p w:rsidR="002B1EDF"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lastRenderedPageBreak/>
        <w:tab/>
      </w:r>
      <w:r w:rsidRPr="006E7BA7">
        <w:rPr>
          <w:rFonts w:cs="Times New Roman"/>
          <w:snapToGrid w:val="0"/>
        </w:rPr>
        <w:tab/>
        <w:t>(2)</w:t>
      </w:r>
      <w:r w:rsidRPr="006E7BA7">
        <w:rPr>
          <w:rFonts w:cs="Times New Roman"/>
          <w:snapToGrid w:val="0"/>
        </w:rPr>
        <w:tab/>
        <w:t>“Qualifying expenditure” means an expenditure of funds related to services provided to people in response to the COVID</w:t>
      </w:r>
      <w:r>
        <w:rPr>
          <w:rFonts w:cs="Times New Roman"/>
          <w:snapToGrid w:val="0"/>
        </w:rPr>
        <w:noBreakHyphen/>
      </w:r>
      <w:r w:rsidRPr="006E7BA7">
        <w:rPr>
          <w:rFonts w:cs="Times New Roman"/>
          <w:snapToGrid w:val="0"/>
        </w:rPr>
        <w:t>19 public health emergency. The definition of qualifying expenditure does not include any expenditure that qualified the nonprofit entity to receive federal emergency relief funds, including the Paycheck Protection Program, if the nonprofit entity has, or will, receive the federal emergency relief funds.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SECTION</w:t>
      </w:r>
      <w:r w:rsidRPr="006E7BA7">
        <w:rPr>
          <w:rFonts w:cs="Times New Roman"/>
          <w:snapToGrid w:val="0"/>
        </w:rPr>
        <w:tab/>
        <w:t>7.</w:t>
      </w:r>
      <w:r w:rsidRPr="006E7BA7">
        <w:rPr>
          <w:rFonts w:cs="Times New Roman"/>
          <w:snapToGrid w:val="0"/>
        </w:rPr>
        <w:tab/>
        <w:t>(A)</w:t>
      </w:r>
      <w:r w:rsidRPr="006E7BA7">
        <w:rPr>
          <w:rFonts w:cs="Times New Roman"/>
          <w:snapToGrid w:val="0"/>
        </w:rPr>
        <w:tab/>
        <w:t>There is established through the SC CARES Grant Management Program a minority and small business enterprise reimbursement grant program with the funds authorized in Section 3(F). The program shall award grants to qualifying minority and small business enterprises to reimburse the enterprise for some, or all, of the costs associated with qualifying expenditures incurred, or expected to be incurred, by the qualifying minority or small business enterprise between March 1, 2020, and December 1, 2020. A qualifying minority or small business enterprise may receive a grant in an amount between two thousand five hundred dollars and twenty</w:t>
      </w:r>
      <w:r>
        <w:rPr>
          <w:rFonts w:cs="Times New Roman"/>
          <w:snapToGrid w:val="0"/>
        </w:rPr>
        <w:noBreakHyphen/>
      </w:r>
      <w:r w:rsidRPr="006E7BA7">
        <w:rPr>
          <w:rFonts w:cs="Times New Roman"/>
          <w:snapToGrid w:val="0"/>
        </w:rPr>
        <w:t>five thousand dollars. Minority and small business enterprises must apply for grants no later than November 1,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(B)</w:t>
      </w:r>
      <w:r w:rsidRPr="006E7BA7">
        <w:rPr>
          <w:rFonts w:cs="Times New Roman"/>
          <w:snapToGrid w:val="0"/>
        </w:rPr>
        <w:tab/>
        <w:t>Applications for grants shall be made to the SC CARES Grant Management Program. An applicant shall provide the SC CARES Grant Management Program with information concerning the applicant</w:t>
      </w:r>
      <w:r w:rsidRPr="00041126">
        <w:rPr>
          <w:rFonts w:cs="Times New Roman"/>
          <w:snapToGrid w:val="0"/>
        </w:rPr>
        <w:t>’</w:t>
      </w:r>
      <w:r w:rsidRPr="006E7BA7">
        <w:rPr>
          <w:rFonts w:cs="Times New Roman"/>
          <w:snapToGrid w:val="0"/>
        </w:rPr>
        <w:t>s expenditures for which the applicant seeks a grant. The grant manager shall evaluate grant applications to confirm that all reimbursement requests in the grant applications comply with federal CARES Act requirements.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(C)(1)</w:t>
      </w:r>
      <w:r w:rsidRPr="006E7BA7">
        <w:rPr>
          <w:rFonts w:cs="Times New Roman"/>
          <w:snapToGrid w:val="0"/>
        </w:rPr>
        <w:tab/>
        <w:t>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color="000000"/>
        </w:rPr>
      </w:pPr>
      <w:r w:rsidRPr="006E7BA7">
        <w:rPr>
          <w:rFonts w:cs="Times New Roman"/>
          <w:snapToGrid w:val="0"/>
        </w:rPr>
        <w:tab/>
      </w:r>
      <w:r w:rsidRPr="006E7BA7">
        <w:rPr>
          <w:rFonts w:cs="Times New Roman"/>
          <w:snapToGrid w:val="0"/>
        </w:rPr>
        <w:tab/>
        <w:t>(2)(a)</w:t>
      </w:r>
      <w:r w:rsidRPr="006E7BA7">
        <w:rPr>
          <w:rFonts w:cs="Times New Roman"/>
          <w:snapToGrid w:val="0"/>
        </w:rPr>
        <w:tab/>
      </w:r>
      <w:r w:rsidRPr="006E7BA7">
        <w:rPr>
          <w:rFonts w:cs="Times New Roman"/>
          <w:snapToGrid w:val="0"/>
          <w:u w:color="000000"/>
        </w:rPr>
        <w:t>Priorities must be assigned to minority and small business enterprises by a panel consisting of:</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color="000000"/>
        </w:rPr>
      </w:pPr>
      <w:r w:rsidRPr="006E7BA7">
        <w:rPr>
          <w:rFonts w:cs="Times New Roman"/>
          <w:snapToGrid w:val="0"/>
          <w:u w:color="000000"/>
        </w:rPr>
        <w:tab/>
      </w:r>
      <w:r w:rsidRPr="006E7BA7">
        <w:rPr>
          <w:rFonts w:cs="Times New Roman"/>
          <w:snapToGrid w:val="0"/>
          <w:u w:color="000000"/>
        </w:rPr>
        <w:tab/>
      </w:r>
      <w:r w:rsidRPr="006E7BA7">
        <w:rPr>
          <w:rFonts w:cs="Times New Roman"/>
          <w:snapToGrid w:val="0"/>
          <w:u w:color="000000"/>
        </w:rPr>
        <w:tab/>
      </w:r>
      <w:r w:rsidRPr="006E7BA7">
        <w:rPr>
          <w:rFonts w:cs="Times New Roman"/>
          <w:snapToGrid w:val="0"/>
          <w:u w:color="000000"/>
        </w:rPr>
        <w:tab/>
        <w:t xml:space="preserve">(i) </w:t>
      </w:r>
      <w:r w:rsidRPr="006E7BA7">
        <w:rPr>
          <w:rFonts w:cs="Times New Roman"/>
          <w:snapToGrid w:val="0"/>
          <w:u w:color="000000"/>
        </w:rPr>
        <w:tab/>
        <w:t>the Director of the Commission for Minority Affairs,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color="000000"/>
        </w:rPr>
      </w:pPr>
      <w:r w:rsidRPr="006E7BA7">
        <w:rPr>
          <w:rFonts w:cs="Times New Roman"/>
          <w:snapToGrid w:val="0"/>
          <w:u w:color="000000"/>
        </w:rPr>
        <w:tab/>
      </w:r>
      <w:r w:rsidRPr="006E7BA7">
        <w:rPr>
          <w:rFonts w:cs="Times New Roman"/>
          <w:snapToGrid w:val="0"/>
          <w:u w:color="000000"/>
        </w:rPr>
        <w:tab/>
      </w:r>
      <w:r w:rsidRPr="006E7BA7">
        <w:rPr>
          <w:rFonts w:cs="Times New Roman"/>
          <w:snapToGrid w:val="0"/>
          <w:u w:color="000000"/>
        </w:rPr>
        <w:tab/>
      </w:r>
      <w:r w:rsidRPr="006E7BA7">
        <w:rPr>
          <w:rFonts w:cs="Times New Roman"/>
          <w:snapToGrid w:val="0"/>
          <w:u w:color="000000"/>
        </w:rPr>
        <w:tab/>
        <w:t>(ii)</w:t>
      </w:r>
      <w:r w:rsidRPr="006E7BA7">
        <w:rPr>
          <w:rFonts w:cs="Times New Roman"/>
          <w:snapToGrid w:val="0"/>
          <w:u w:color="000000"/>
        </w:rPr>
        <w:tab/>
        <w:t>the Secretary of Commerce, or his designee; and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color="000000"/>
        </w:rPr>
      </w:pPr>
      <w:r w:rsidRPr="006E7BA7">
        <w:rPr>
          <w:rFonts w:cs="Times New Roman"/>
          <w:snapToGrid w:val="0"/>
          <w:u w:color="000000"/>
        </w:rPr>
        <w:tab/>
      </w:r>
      <w:r w:rsidRPr="006E7BA7">
        <w:rPr>
          <w:rFonts w:cs="Times New Roman"/>
          <w:snapToGrid w:val="0"/>
          <w:u w:color="000000"/>
        </w:rPr>
        <w:tab/>
      </w:r>
      <w:r w:rsidRPr="006E7BA7">
        <w:rPr>
          <w:rFonts w:cs="Times New Roman"/>
          <w:snapToGrid w:val="0"/>
          <w:u w:color="000000"/>
        </w:rPr>
        <w:tab/>
      </w:r>
      <w:r w:rsidRPr="006E7BA7">
        <w:rPr>
          <w:rFonts w:cs="Times New Roman"/>
          <w:snapToGrid w:val="0"/>
          <w:u w:color="000000"/>
        </w:rPr>
        <w:tab/>
        <w:t>(iii)</w:t>
      </w:r>
      <w:r w:rsidRPr="006E7BA7">
        <w:rPr>
          <w:rFonts w:cs="Times New Roman"/>
          <w:snapToGrid w:val="0"/>
          <w:u w:color="000000"/>
        </w:rPr>
        <w:tab/>
        <w:t>the Director of the Department of Revenue, or his designee.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color="000000"/>
        </w:rPr>
      </w:pPr>
      <w:r w:rsidRPr="006E7BA7">
        <w:rPr>
          <w:rFonts w:cs="Times New Roman"/>
          <w:snapToGrid w:val="0"/>
          <w:u w:color="000000"/>
        </w:rPr>
        <w:tab/>
      </w:r>
      <w:r w:rsidRPr="006E7BA7">
        <w:rPr>
          <w:rFonts w:cs="Times New Roman"/>
          <w:snapToGrid w:val="0"/>
          <w:u w:color="000000"/>
        </w:rPr>
        <w:tab/>
      </w:r>
      <w:r w:rsidRPr="006E7BA7">
        <w:rPr>
          <w:rFonts w:cs="Times New Roman"/>
          <w:snapToGrid w:val="0"/>
          <w:u w:color="000000"/>
        </w:rPr>
        <w:tab/>
        <w:t>(b)</w:t>
      </w:r>
      <w:r w:rsidRPr="006E7BA7">
        <w:rPr>
          <w:rFonts w:cs="Times New Roman"/>
          <w:snapToGrid w:val="0"/>
          <w:u w:color="000000"/>
        </w:rPr>
        <w:tab/>
        <w:t xml:space="preserve">In addition to assigning priorities, the panel also must make an initial determination of which applicants meet the definitions set forth in subsection (D).  Once the panel has made such determinations and has assigned priorities, the panel shall award grants in the amounts </w:t>
      </w:r>
      <w:r w:rsidRPr="006E7BA7">
        <w:rPr>
          <w:rFonts w:cs="Times New Roman"/>
          <w:snapToGrid w:val="0"/>
          <w:u w:color="000000"/>
        </w:rPr>
        <w:lastRenderedPageBreak/>
        <w:t>determined by the SC CARES Act Grant Management Program and in accordance with this SECTION.</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(D)</w:t>
      </w:r>
      <w:r w:rsidRPr="006E7BA7">
        <w:rPr>
          <w:rFonts w:cs="Times New Roman"/>
          <w:snapToGrid w:val="0"/>
        </w:rPr>
        <w:tab/>
        <w:t>For the purposes of the minority and small business enterprise reimbursement grant program:</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(1)</w:t>
      </w:r>
      <w:r w:rsidRPr="006E7BA7">
        <w:rPr>
          <w:rFonts w:cs="Times New Roman"/>
          <w:snapToGrid w:val="0"/>
        </w:rPr>
        <w:tab/>
      </w:r>
      <w:r w:rsidRPr="006E7BA7">
        <w:rPr>
          <w:rFonts w:cs="Times New Roman"/>
        </w:rPr>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(2)</w:t>
      </w:r>
      <w:r w:rsidRPr="006E7BA7">
        <w:rPr>
          <w:rFonts w:cs="Times New Roman"/>
          <w:snapToGrid w:val="0"/>
        </w:rPr>
        <w:tab/>
        <w:t>“Minority business enterprise” means a business with twenty</w:t>
      </w:r>
      <w:r>
        <w:rPr>
          <w:rFonts w:cs="Times New Roman"/>
          <w:snapToGrid w:val="0"/>
        </w:rPr>
        <w:noBreakHyphen/>
      </w:r>
      <w:r w:rsidRPr="006E7BA7">
        <w:rPr>
          <w:rFonts w:cs="Times New Roman"/>
          <w:snapToGrid w:val="0"/>
        </w:rPr>
        <w:t>five or fewer employees that has been operating in South Carolina for at least six months prior to the Governor</w:t>
      </w:r>
      <w:r w:rsidRPr="00041126">
        <w:rPr>
          <w:rFonts w:cs="Times New Roman"/>
          <w:snapToGrid w:val="0"/>
        </w:rPr>
        <w:t>’</w:t>
      </w:r>
      <w:r w:rsidRPr="006E7BA7">
        <w:rPr>
          <w:rFonts w:cs="Times New Roman"/>
          <w:snapToGrid w:val="0"/>
        </w:rPr>
        <w:t>s initial COVID</w:t>
      </w:r>
      <w:r>
        <w:rPr>
          <w:rFonts w:cs="Times New Roman"/>
          <w:snapToGrid w:val="0"/>
        </w:rPr>
        <w:noBreakHyphen/>
      </w:r>
      <w:r w:rsidRPr="006E7BA7">
        <w:rPr>
          <w:rFonts w:cs="Times New Roman"/>
          <w:snapToGrid w:val="0"/>
        </w:rPr>
        <w:t>19 state of emergency declaration on March 13, 2020, and is owned by an individual who is a United States citizen and who is economically and socially disadvantaged.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(3)</w:t>
      </w:r>
      <w:r w:rsidRPr="006E7BA7">
        <w:rPr>
          <w:rFonts w:cs="Times New Roman"/>
          <w:snapToGrid w:val="0"/>
        </w:rPr>
        <w:tab/>
        <w:t>“Qualifying expenditure” means costs associated with business interruptions resulting from the COVID</w:t>
      </w:r>
      <w:r>
        <w:rPr>
          <w:rFonts w:cs="Times New Roman"/>
          <w:snapToGrid w:val="0"/>
        </w:rPr>
        <w:noBreakHyphen/>
      </w:r>
      <w:r w:rsidRPr="006E7BA7">
        <w:rPr>
          <w:rFonts w:cs="Times New Roman"/>
          <w:snapToGrid w:val="0"/>
        </w:rPr>
        <w:t>19 public health emergency and any expenses deemed necessary and incurred as a result of the COVID</w:t>
      </w:r>
      <w:r>
        <w:rPr>
          <w:rFonts w:cs="Times New Roman"/>
          <w:snapToGrid w:val="0"/>
        </w:rPr>
        <w:noBreakHyphen/>
      </w:r>
      <w:r w:rsidRPr="006E7BA7">
        <w:rPr>
          <w:rFonts w:cs="Times New Roman"/>
          <w:snapToGrid w:val="0"/>
        </w:rPr>
        <w:t>19 health emergency. The definition of qualifying expenditure does not include any expenditure that qualified the minority or small business enterprise to receive federal emergency relief funds, including the Paycheck Protection Program, if the minority or small business enterprise has, or will, receive the federal emergency relief funds.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rPr>
        <w:tab/>
      </w:r>
      <w:r w:rsidRPr="006E7BA7">
        <w:rPr>
          <w:rFonts w:cs="Times New Roman"/>
        </w:rPr>
        <w:tab/>
        <w:t>(4)</w:t>
      </w:r>
      <w:r w:rsidRPr="006E7BA7">
        <w:rPr>
          <w:rFonts w:cs="Times New Roman"/>
        </w:rPr>
        <w:tab/>
      </w:r>
      <w:r w:rsidRPr="006E7BA7">
        <w:rPr>
          <w:rFonts w:cs="Times New Roman"/>
          <w:snapToGrid w:val="0"/>
        </w:rPr>
        <w:t>“Small business enterprise” means a business with twenty</w:t>
      </w:r>
      <w:r>
        <w:rPr>
          <w:rFonts w:cs="Times New Roman"/>
          <w:snapToGrid w:val="0"/>
        </w:rPr>
        <w:noBreakHyphen/>
      </w:r>
      <w:r w:rsidRPr="006E7BA7">
        <w:rPr>
          <w:rFonts w:cs="Times New Roman"/>
          <w:snapToGrid w:val="0"/>
        </w:rPr>
        <w:t>five or fewer employees that has been operating in South Carolina for at least six months prior to the Governor</w:t>
      </w:r>
      <w:r w:rsidRPr="00041126">
        <w:rPr>
          <w:rFonts w:cs="Times New Roman"/>
          <w:snapToGrid w:val="0"/>
        </w:rPr>
        <w:t>’</w:t>
      </w:r>
      <w:r w:rsidRPr="006E7BA7">
        <w:rPr>
          <w:rFonts w:cs="Times New Roman"/>
          <w:snapToGrid w:val="0"/>
        </w:rPr>
        <w:t>s initial COVID</w:t>
      </w:r>
      <w:r>
        <w:rPr>
          <w:rFonts w:cs="Times New Roman"/>
          <w:snapToGrid w:val="0"/>
        </w:rPr>
        <w:noBreakHyphen/>
      </w:r>
      <w:r w:rsidRPr="006E7BA7">
        <w:rPr>
          <w:rFonts w:cs="Times New Roman"/>
          <w:snapToGrid w:val="0"/>
        </w:rPr>
        <w:t>19 state of emergency declaration on March 13,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(5)</w:t>
      </w:r>
      <w:r w:rsidRPr="006E7BA7">
        <w:rPr>
          <w:rFonts w:cs="Times New Roman"/>
          <w:snapToGrid w:val="0"/>
        </w:rPr>
        <w:tab/>
        <w:t>“S</w:t>
      </w:r>
      <w:r w:rsidRPr="006E7BA7">
        <w:rPr>
          <w:rFonts w:cs="Times New Roman"/>
        </w:rPr>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8.</w:t>
      </w:r>
      <w:r w:rsidRPr="006E7BA7">
        <w:rPr>
          <w:rFonts w:cs="Times New Roman"/>
          <w:snapToGrid w:val="0"/>
        </w:rPr>
        <w:tab/>
        <w:t>The funds authorized for the Department of Health and Environmental Control pursuant to Section 3(A) must be utilized in the manner prescribed for the Statewide Testing Plan established in Section 7 of Act 142 of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9.</w:t>
      </w:r>
      <w:r w:rsidRPr="006E7BA7">
        <w:rPr>
          <w:rFonts w:cs="Times New Roman"/>
          <w:snapToGrid w:val="0"/>
        </w:rPr>
        <w:tab/>
        <w:t>The funds authorized for the Medical University of South Carolina pursuant to Section 3(B) for statewide testing shall be utilized to continue the Medical University</w:t>
      </w:r>
      <w:r w:rsidRPr="00041126">
        <w:rPr>
          <w:rFonts w:cs="Times New Roman"/>
          <w:snapToGrid w:val="0"/>
        </w:rPr>
        <w:t>’</w:t>
      </w:r>
      <w:r w:rsidRPr="006E7BA7">
        <w:rPr>
          <w:rFonts w:cs="Times New Roman"/>
          <w:snapToGrid w:val="0"/>
        </w:rPr>
        <w:t>s COVID</w:t>
      </w:r>
      <w:r>
        <w:rPr>
          <w:rFonts w:cs="Times New Roman"/>
          <w:snapToGrid w:val="0"/>
        </w:rPr>
        <w:noBreakHyphen/>
      </w:r>
      <w:r w:rsidRPr="006E7BA7">
        <w:rPr>
          <w:rFonts w:cs="Times New Roman"/>
          <w:snapToGrid w:val="0"/>
        </w:rPr>
        <w:t>19 at</w:t>
      </w:r>
      <w:r>
        <w:rPr>
          <w:rFonts w:cs="Times New Roman"/>
          <w:snapToGrid w:val="0"/>
        </w:rPr>
        <w:noBreakHyphen/>
      </w:r>
      <w:r w:rsidRPr="006E7BA7">
        <w:rPr>
          <w:rFonts w:cs="Times New Roman"/>
          <w:snapToGrid w:val="0"/>
        </w:rPr>
        <w:t>risk testing initiative.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lastRenderedPageBreak/>
        <w:t>SECTION</w:t>
      </w:r>
      <w:r w:rsidRPr="006E7BA7">
        <w:rPr>
          <w:rFonts w:cs="Times New Roman"/>
          <w:snapToGrid w:val="0"/>
        </w:rPr>
        <w:tab/>
        <w:t>10.</w:t>
      </w:r>
      <w:r w:rsidRPr="006E7BA7">
        <w:rPr>
          <w:rFonts w:cs="Times New Roman"/>
          <w:snapToGrid w:val="0"/>
        </w:rPr>
        <w:tab/>
        <w:t>(A)(1)</w:t>
      </w:r>
      <w:r w:rsidRPr="006E7BA7">
        <w:rPr>
          <w:rFonts w:cs="Times New Roman"/>
          <w:snapToGrid w:val="0"/>
        </w:rPr>
        <w:tab/>
        <w:t>State agencies, public institutions of higher learning, counties, municipalities, and special purpose districts are authorized to apply for reimbursement of expenditures necessary for the response to the COVID</w:t>
      </w:r>
      <w:r>
        <w:rPr>
          <w:rFonts w:cs="Times New Roman"/>
          <w:snapToGrid w:val="0"/>
        </w:rPr>
        <w:noBreakHyphen/>
      </w:r>
      <w:r w:rsidRPr="006E7BA7">
        <w:rPr>
          <w:rFonts w:cs="Times New Roman"/>
          <w:snapToGrid w:val="0"/>
        </w:rPr>
        <w:t>19 public health emergency incurred, or expected to be incurred, between July 1, 2020</w:t>
      </w:r>
      <w:r>
        <w:rPr>
          <w:rFonts w:cs="Times New Roman"/>
          <w:snapToGrid w:val="0"/>
        </w:rPr>
        <w:t>,</w:t>
      </w:r>
      <w:r w:rsidRPr="006E7BA7">
        <w:rPr>
          <w:rFonts w:cs="Times New Roman"/>
          <w:snapToGrid w:val="0"/>
        </w:rPr>
        <w:t xml:space="preserve"> and December 30,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(2)</w:t>
      </w:r>
      <w:r w:rsidRPr="006E7BA7">
        <w:rPr>
          <w:rFonts w:cs="Times New Roman"/>
          <w:snapToGrid w:val="0"/>
        </w:rPr>
        <w:tab/>
        <w:t>Independent colleges and universities that are member institutions of the South Carolina Independent Colleges and Universities nonprofit corporation are authorized to apply for reimbursement of expenditures that were necessary for the response to the COVID</w:t>
      </w:r>
      <w:r>
        <w:rPr>
          <w:rFonts w:cs="Times New Roman"/>
          <w:snapToGrid w:val="0"/>
        </w:rPr>
        <w:noBreakHyphen/>
      </w:r>
      <w:r w:rsidRPr="006E7BA7">
        <w:rPr>
          <w:rFonts w:cs="Times New Roman"/>
          <w:snapToGrid w:val="0"/>
        </w:rPr>
        <w:t>19 public health emergency incurred, or expected to be incurred, between March 1, 2020</w:t>
      </w:r>
      <w:r>
        <w:rPr>
          <w:rFonts w:cs="Times New Roman"/>
          <w:snapToGrid w:val="0"/>
        </w:rPr>
        <w:t>,</w:t>
      </w:r>
      <w:r w:rsidRPr="006E7BA7">
        <w:rPr>
          <w:rFonts w:cs="Times New Roman"/>
          <w:snapToGrid w:val="0"/>
        </w:rPr>
        <w:t xml:space="preserve"> and December 30, 2020.  </w:t>
      </w:r>
      <w:r w:rsidRPr="006E7BA7">
        <w:rPr>
          <w:rFonts w:cs="Times New Roman"/>
        </w:rPr>
        <w:t>Bob Jones University and Clinton College are also authorized to apply for reimbursement of expenditures that were necessary for the response to the COVID</w:t>
      </w:r>
      <w:r>
        <w:rPr>
          <w:rFonts w:cs="Times New Roman"/>
        </w:rPr>
        <w:noBreakHyphen/>
      </w:r>
      <w:r w:rsidRPr="006E7BA7">
        <w:rPr>
          <w:rFonts w:cs="Times New Roman"/>
        </w:rPr>
        <w:t>19 public health emergency that were incurred, or expected to be incurred, between March 1, 2020</w:t>
      </w:r>
      <w:r>
        <w:rPr>
          <w:rFonts w:cs="Times New Roman"/>
        </w:rPr>
        <w:t>,</w:t>
      </w:r>
      <w:r w:rsidRPr="006E7BA7">
        <w:rPr>
          <w:rFonts w:cs="Times New Roman"/>
        </w:rPr>
        <w:t xml:space="preserve"> and December 30,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(3)</w:t>
      </w:r>
      <w:r w:rsidRPr="006E7BA7">
        <w:rPr>
          <w:rFonts w:cs="Times New Roman"/>
          <w:snapToGrid w:val="0"/>
        </w:rPr>
        <w:tab/>
        <w:t>All applications for reimbursement shall be submitted to the SC CARES Grant Management Program on or before November 15, 2020.</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(B)</w:t>
      </w:r>
      <w:r w:rsidRPr="006E7BA7">
        <w:rPr>
          <w:rFonts w:cs="Times New Roman"/>
          <w:snapToGrid w:val="0"/>
        </w:rPr>
        <w:tab/>
        <w:t>If the Executive Budget Office determines that the amount of eligible expenditures through December 30, 2020</w:t>
      </w:r>
      <w:r>
        <w:rPr>
          <w:rFonts w:cs="Times New Roman"/>
          <w:snapToGrid w:val="0"/>
        </w:rPr>
        <w:t>,</w:t>
      </w:r>
      <w:r w:rsidRPr="006E7BA7">
        <w:rPr>
          <w:rFonts w:cs="Times New Roman"/>
          <w:snapToGrid w:val="0"/>
        </w:rPr>
        <w:t xml:space="preserve"> exceeds the authorizations provided for in Act 142 of 2020 and Section 3(G) of this act, then the Executive Budget Office is authorized to prioritize the remaining reimbursements for expenses incurred as a result of COVID</w:t>
      </w:r>
      <w:r>
        <w:rPr>
          <w:rFonts w:cs="Times New Roman"/>
          <w:snapToGrid w:val="0"/>
        </w:rPr>
        <w:noBreakHyphen/>
      </w:r>
      <w:r w:rsidRPr="006E7BA7">
        <w:rPr>
          <w:rFonts w:cs="Times New Roman"/>
          <w:snapToGrid w:val="0"/>
        </w:rPr>
        <w:t>19 in the following order:</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r>
      <w:r w:rsidRPr="006E7BA7">
        <w:rPr>
          <w:rFonts w:cs="Times New Roman"/>
        </w:rPr>
        <w:t>(1)</w:t>
      </w:r>
      <w:r w:rsidRPr="006E7BA7">
        <w:rPr>
          <w:rFonts w:cs="Times New Roman"/>
        </w:rPr>
        <w:tab/>
        <w:t>institutions of higher learning, including member institutions of the South Carolina Independent Colleges and Universities nonprofit corporation and Bob Jones University and Clinton College, for expenses related to providing virtual and in</w:t>
      </w:r>
      <w:r>
        <w:rPr>
          <w:rFonts w:cs="Times New Roman"/>
        </w:rPr>
        <w:noBreakHyphen/>
      </w:r>
      <w:r w:rsidRPr="006E7BA7">
        <w:rPr>
          <w:rFonts w:cs="Times New Roman"/>
        </w:rPr>
        <w:t>person educational services for students enrolled for the fall 2020 semester;</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(2)</w:t>
      </w:r>
      <w:r w:rsidRPr="006E7BA7">
        <w:rPr>
          <w:rFonts w:cs="Times New Roman"/>
          <w:snapToGrid w:val="0"/>
        </w:rPr>
        <w:tab/>
        <w:t>state agencies;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(3)</w:t>
      </w:r>
      <w:r w:rsidRPr="006E7BA7">
        <w:rPr>
          <w:rFonts w:cs="Times New Roman"/>
          <w:snapToGrid w:val="0"/>
        </w:rPr>
        <w:tab/>
        <w:t>county governments;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(4)</w:t>
      </w:r>
      <w:r w:rsidRPr="006E7BA7">
        <w:rPr>
          <w:rFonts w:cs="Times New Roman"/>
          <w:snapToGrid w:val="0"/>
        </w:rPr>
        <w:tab/>
        <w:t>municipal governments; and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r>
      <w:r w:rsidRPr="006E7BA7">
        <w:rPr>
          <w:rFonts w:cs="Times New Roman"/>
          <w:snapToGrid w:val="0"/>
        </w:rPr>
        <w:tab/>
        <w:t>(5)</w:t>
      </w:r>
      <w:r w:rsidRPr="006E7BA7">
        <w:rPr>
          <w:rFonts w:cs="Times New Roman"/>
          <w:snapToGrid w:val="0"/>
        </w:rPr>
        <w:tab/>
        <w:t>special purpose districts.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11.</w:t>
      </w:r>
      <w:r w:rsidRPr="006E7BA7">
        <w:rPr>
          <w:rFonts w:cs="Times New Roman"/>
          <w:snapToGrid w:val="0"/>
        </w:rPr>
        <w:tab/>
        <w:t>Excess funds authorized in SECTION 9 of Act 142 of 2020 for the Hospital Relief Fund shall be used for the reimbursement of eligible hospital expenditures incurred on or before September 30, 2020. No hospital shall be reimbursed for expenses that were already reimbursed from the fund or which were eligible for reimbursement from any other fund source. The Executive Budget Office shall distribute the balance of the Hospital Relief Fund to hospitals based upon their respective shares of their unreimbursed and validated expenditures incurred due to the COVID</w:t>
      </w:r>
      <w:r>
        <w:rPr>
          <w:rFonts w:cs="Times New Roman"/>
          <w:snapToGrid w:val="0"/>
        </w:rPr>
        <w:noBreakHyphen/>
      </w:r>
      <w:r w:rsidRPr="006E7BA7">
        <w:rPr>
          <w:rFonts w:cs="Times New Roman"/>
          <w:snapToGrid w:val="0"/>
        </w:rPr>
        <w:t>19 public health emergency.</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SECTION</w:t>
      </w:r>
      <w:r w:rsidRPr="006E7BA7">
        <w:rPr>
          <w:rFonts w:cs="Times New Roman"/>
          <w:snapToGrid w:val="0"/>
        </w:rPr>
        <w:tab/>
        <w:t>12.</w:t>
      </w:r>
      <w:r w:rsidRPr="006E7BA7">
        <w:rPr>
          <w:rFonts w:cs="Times New Roman"/>
          <w:snapToGrid w:val="0"/>
        </w:rPr>
        <w:tab/>
        <w:t xml:space="preserve">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w:t>
      </w:r>
      <w:r>
        <w:rPr>
          <w:rFonts w:cs="Times New Roman"/>
          <w:snapToGrid w:val="0"/>
        </w:rPr>
        <w:t>d</w:t>
      </w:r>
      <w:r w:rsidRPr="006E7BA7">
        <w:rPr>
          <w:rFonts w:cs="Times New Roman"/>
          <w:snapToGrid w:val="0"/>
        </w:rPr>
        <w:t>irector shall reallocate any unused authorization according to the following prioritization:</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(1)</w:t>
      </w:r>
      <w:r w:rsidRPr="006E7BA7">
        <w:rPr>
          <w:rFonts w:cs="Times New Roman"/>
          <w:snapToGrid w:val="0"/>
        </w:rPr>
        <w:tab/>
        <w:t xml:space="preserve">Department of Employment and Workforce </w:t>
      </w:r>
      <w:r>
        <w:rPr>
          <w:rFonts w:cs="Times New Roman"/>
          <w:snapToGrid w:val="0"/>
        </w:rPr>
        <w:noBreakHyphen/>
      </w:r>
      <w:r w:rsidRPr="006E7BA7">
        <w:rPr>
          <w:rFonts w:cs="Times New Roman"/>
          <w:snapToGrid w:val="0"/>
        </w:rPr>
        <w:t xml:space="preserve"> Unemployment Trust Fund;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(2)</w:t>
      </w:r>
      <w:r w:rsidRPr="006E7BA7">
        <w:rPr>
          <w:rFonts w:cs="Times New Roman"/>
          <w:snapToGrid w:val="0"/>
        </w:rPr>
        <w:tab/>
        <w:t xml:space="preserve">Department of Health and Environmental Control </w:t>
      </w:r>
      <w:r>
        <w:rPr>
          <w:rFonts w:cs="Times New Roman"/>
          <w:snapToGrid w:val="0"/>
        </w:rPr>
        <w:noBreakHyphen/>
      </w:r>
      <w:r w:rsidRPr="006E7BA7">
        <w:rPr>
          <w:rFonts w:cs="Times New Roman"/>
          <w:snapToGrid w:val="0"/>
        </w:rPr>
        <w:t xml:space="preserve"> Statewide Testing and Monitoring;</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(3)</w:t>
      </w:r>
      <w:r w:rsidRPr="006E7BA7">
        <w:rPr>
          <w:rFonts w:cs="Times New Roman"/>
          <w:snapToGrid w:val="0"/>
        </w:rPr>
        <w:tab/>
        <w:t xml:space="preserve">Medical University of South Carolina </w:t>
      </w:r>
      <w:r>
        <w:rPr>
          <w:rFonts w:cs="Times New Roman"/>
          <w:snapToGrid w:val="0"/>
        </w:rPr>
        <w:noBreakHyphen/>
      </w:r>
      <w:r w:rsidRPr="006E7BA7">
        <w:rPr>
          <w:rFonts w:cs="Times New Roman"/>
          <w:snapToGrid w:val="0"/>
        </w:rPr>
        <w:t xml:space="preserve"> Statewide Testing;</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(4)</w:t>
      </w:r>
      <w:r w:rsidRPr="006E7BA7">
        <w:rPr>
          <w:rFonts w:cs="Times New Roman"/>
          <w:snapToGrid w:val="0"/>
        </w:rPr>
        <w:tab/>
        <w:t xml:space="preserve">State Department of Education </w:t>
      </w:r>
      <w:r>
        <w:rPr>
          <w:rFonts w:cs="Times New Roman"/>
          <w:snapToGrid w:val="0"/>
        </w:rPr>
        <w:noBreakHyphen/>
      </w:r>
      <w:r w:rsidRPr="006E7BA7">
        <w:rPr>
          <w:rFonts w:cs="Times New Roman"/>
          <w:snapToGrid w:val="0"/>
        </w:rPr>
        <w:t xml:space="preserve"> Uses Authorized in SECTION 4 of this </w:t>
      </w:r>
      <w:r>
        <w:rPr>
          <w:rFonts w:cs="Times New Roman"/>
          <w:snapToGrid w:val="0"/>
        </w:rPr>
        <w:t>a</w:t>
      </w:r>
      <w:r w:rsidRPr="006E7BA7">
        <w:rPr>
          <w:rFonts w:cs="Times New Roman"/>
          <w:snapToGrid w:val="0"/>
        </w:rPr>
        <w:t>ct;</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(5)</w:t>
      </w:r>
      <w:r w:rsidRPr="006E7BA7">
        <w:rPr>
          <w:rFonts w:cs="Times New Roman"/>
          <w:snapToGrid w:val="0"/>
        </w:rPr>
        <w:tab/>
        <w:t xml:space="preserve">Department of Administration </w:t>
      </w:r>
      <w:r>
        <w:rPr>
          <w:rFonts w:cs="Times New Roman"/>
          <w:snapToGrid w:val="0"/>
        </w:rPr>
        <w:noBreakHyphen/>
      </w:r>
      <w:r w:rsidRPr="006E7BA7">
        <w:rPr>
          <w:rFonts w:cs="Times New Roman"/>
          <w:snapToGrid w:val="0"/>
        </w:rPr>
        <w:t xml:space="preserve"> State, Local Government, Independent Colleges and University Expenditures;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(6)</w:t>
      </w:r>
      <w:r w:rsidRPr="006E7BA7">
        <w:rPr>
          <w:rFonts w:cs="Times New Roman"/>
          <w:snapToGrid w:val="0"/>
        </w:rPr>
        <w:tab/>
        <w:t xml:space="preserve">Department of Administration </w:t>
      </w:r>
      <w:r>
        <w:rPr>
          <w:rFonts w:cs="Times New Roman"/>
          <w:snapToGrid w:val="0"/>
        </w:rPr>
        <w:noBreakHyphen/>
      </w:r>
      <w:r w:rsidRPr="006E7BA7">
        <w:rPr>
          <w:rFonts w:cs="Times New Roman"/>
          <w:snapToGrid w:val="0"/>
        </w:rPr>
        <w:t xml:space="preserve"> Minority and Small Business Relief Program;</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(7)</w:t>
      </w:r>
      <w:r w:rsidRPr="006E7BA7">
        <w:rPr>
          <w:rFonts w:cs="Times New Roman"/>
          <w:snapToGrid w:val="0"/>
        </w:rPr>
        <w:tab/>
        <w:t xml:space="preserve">Department of Administration </w:t>
      </w:r>
      <w:r>
        <w:rPr>
          <w:rFonts w:cs="Times New Roman"/>
          <w:snapToGrid w:val="0"/>
        </w:rPr>
        <w:noBreakHyphen/>
      </w:r>
      <w:r w:rsidRPr="006E7BA7">
        <w:rPr>
          <w:rFonts w:cs="Times New Roman"/>
          <w:snapToGrid w:val="0"/>
        </w:rPr>
        <w:t xml:space="preserve"> Nonprofit Relief Program;</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(8)</w:t>
      </w:r>
      <w:r w:rsidRPr="006E7BA7">
        <w:rPr>
          <w:rFonts w:cs="Times New Roman"/>
          <w:snapToGrid w:val="0"/>
        </w:rPr>
        <w:tab/>
        <w:t xml:space="preserve">Department of Administration </w:t>
      </w:r>
      <w:r>
        <w:rPr>
          <w:rFonts w:cs="Times New Roman"/>
          <w:snapToGrid w:val="0"/>
        </w:rPr>
        <w:noBreakHyphen/>
      </w:r>
      <w:r w:rsidRPr="006E7BA7">
        <w:rPr>
          <w:rFonts w:cs="Times New Roman"/>
          <w:snapToGrid w:val="0"/>
        </w:rPr>
        <w:t xml:space="preserve"> Executive Budget Office Hospital Relief Program;</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(9)</w:t>
      </w:r>
      <w:r w:rsidRPr="006E7BA7">
        <w:rPr>
          <w:rFonts w:cs="Times New Roman"/>
          <w:snapToGrid w:val="0"/>
        </w:rPr>
        <w:tab/>
        <w:t xml:space="preserve">Adjutant General </w:t>
      </w:r>
      <w:r>
        <w:rPr>
          <w:rFonts w:cs="Times New Roman"/>
          <w:snapToGrid w:val="0"/>
        </w:rPr>
        <w:noBreakHyphen/>
      </w:r>
      <w:r w:rsidRPr="006E7BA7">
        <w:rPr>
          <w:rFonts w:cs="Times New Roman"/>
          <w:snapToGrid w:val="0"/>
        </w:rPr>
        <w:t xml:space="preserve"> Emergency Management Division Personal Protective Equipment Stockpile and Supply Chain; and</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7BA7">
        <w:rPr>
          <w:rFonts w:cs="Times New Roman"/>
          <w:snapToGrid w:val="0"/>
        </w:rPr>
        <w:tab/>
        <w:t>(10)</w:t>
      </w:r>
      <w:r w:rsidRPr="006E7BA7">
        <w:rPr>
          <w:rFonts w:cs="Times New Roman"/>
          <w:snapToGrid w:val="0"/>
        </w:rPr>
        <w:tab/>
        <w:t xml:space="preserve">Office of Regulatory Staff </w:t>
      </w:r>
      <w:r>
        <w:rPr>
          <w:rFonts w:cs="Times New Roman"/>
          <w:snapToGrid w:val="0"/>
        </w:rPr>
        <w:noBreakHyphen/>
      </w:r>
      <w:r w:rsidRPr="006E7BA7">
        <w:rPr>
          <w:rFonts w:cs="Times New Roman"/>
          <w:snapToGrid w:val="0"/>
        </w:rPr>
        <w:t xml:space="preserve"> Broadband Mapping and Planning, Infrastructure, and Mobile Hotspots.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6E7BA7">
        <w:rPr>
          <w:rFonts w:cs="Times New Roman"/>
          <w:snapToGrid w:val="0"/>
        </w:rPr>
        <w:t>SECTION</w:t>
      </w:r>
      <w:r w:rsidRPr="006E7BA7">
        <w:rPr>
          <w:rFonts w:cs="Times New Roman"/>
          <w:snapToGrid w:val="0"/>
        </w:rPr>
        <w:tab/>
        <w:t>13.</w:t>
      </w:r>
      <w:r w:rsidRPr="006E7BA7">
        <w:rPr>
          <w:rFonts w:cs="Times New Roman"/>
          <w:snapToGrid w:val="0"/>
        </w:rPr>
        <w:tab/>
      </w:r>
      <w:r w:rsidRPr="006E7BA7">
        <w:rPr>
          <w:rFonts w:cs="Times New Roman"/>
          <w:u w:color="000000"/>
        </w:rPr>
        <w:t>In order to address the extraordinary challenges facing Patriots Point Development Authority due to COVID</w:t>
      </w:r>
      <w:r>
        <w:rPr>
          <w:rFonts w:cs="Times New Roman"/>
          <w:u w:color="000000"/>
        </w:rPr>
        <w:noBreakHyphen/>
        <w:t>19, the a</w:t>
      </w:r>
      <w:r w:rsidRPr="006E7BA7">
        <w:rPr>
          <w:rFonts w:cs="Times New Roman"/>
          <w:u w:color="000000"/>
        </w:rPr>
        <w:t>uthority shall utilize the $1,000,000 authorized by proviso 52.2 and the $1,700,000 appropriated by proviso 118.16, Item (45), both of Act 91 of 2019, for agency operating expenses.  The Department of Administration shall assist Patriots Point in the development of a long</w:t>
      </w:r>
      <w:r>
        <w:rPr>
          <w:rFonts w:cs="Times New Roman"/>
          <w:u w:color="000000"/>
        </w:rPr>
        <w:noBreakHyphen/>
      </w:r>
      <w:r w:rsidRPr="006E7BA7">
        <w:rPr>
          <w:rFonts w:cs="Times New Roman"/>
          <w:u w:color="000000"/>
        </w:rPr>
        <w:t>term financial strategy and operational plan.  The provisions of this SECTION shall remain in effect until replaced by a subsequent act of the General Assembly.</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7BA7">
        <w:rPr>
          <w:rFonts w:cs="Times New Roman"/>
          <w:u w:color="000000"/>
        </w:rPr>
        <w:t>SECTION</w:t>
      </w:r>
      <w:r w:rsidRPr="006E7BA7">
        <w:rPr>
          <w:rFonts w:cs="Times New Roman"/>
          <w:u w:color="000000"/>
        </w:rPr>
        <w:tab/>
        <w:t>14.</w:t>
      </w:r>
      <w:r w:rsidRPr="006E7BA7">
        <w:rPr>
          <w:rFonts w:cs="Times New Roman"/>
          <w:u w:color="000000"/>
        </w:rPr>
        <w:tab/>
      </w:r>
      <w:r w:rsidRPr="006E7BA7">
        <w:rPr>
          <w:rFonts w:cs="Times New Roman"/>
        </w:rPr>
        <w:t xml:space="preserve">The funds allocated to the Department of Employment and Workforce for the unemployment trust fund from the CARES Act Coronavirus Relief Fund shall be utilized to offset the unexpected losses to the unemployment trust fund between March 1, 2020, and December </w:t>
      </w:r>
      <w:r w:rsidRPr="006E7BA7">
        <w:rPr>
          <w:rFonts w:cs="Times New Roman"/>
        </w:rPr>
        <w:lastRenderedPageBreak/>
        <w:t>30, 2020, resulting from the pandemic and to set the total effective rates for 2021 rate classes at the same total effective rates as 2020 rate classes.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7BA7">
        <w:rPr>
          <w:rFonts w:cs="Times New Roman"/>
        </w:rPr>
        <w:t>PART III</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7BA7">
        <w:rPr>
          <w:rFonts w:cs="Times New Roman"/>
        </w:rPr>
        <w:t>Miscellaneous Provisions</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6E7BA7">
        <w:rPr>
          <w:rFonts w:cs="Times New Roman"/>
        </w:rPr>
        <w:t>SECTION</w:t>
      </w:r>
      <w:r w:rsidRPr="006E7BA7">
        <w:rPr>
          <w:rFonts w:cs="Times New Roman"/>
        </w:rPr>
        <w:tab/>
      </w:r>
      <w:r w:rsidRPr="006E7BA7">
        <w:rPr>
          <w:rFonts w:eastAsia="Calibri" w:cs="Times New Roman"/>
        </w:rPr>
        <w:t>15.</w:t>
      </w:r>
      <w:r w:rsidRPr="006E7BA7">
        <w:rPr>
          <w:rFonts w:eastAsia="Calibri" w:cs="Times New Roman"/>
        </w:rPr>
        <w:tab/>
        <w:t>Due to the strains caused by COVID</w:t>
      </w:r>
      <w:r>
        <w:rPr>
          <w:rFonts w:eastAsia="Calibri" w:cs="Times New Roman"/>
        </w:rPr>
        <w:noBreakHyphen/>
      </w:r>
      <w:r w:rsidRPr="006E7BA7">
        <w:rPr>
          <w:rFonts w:eastAsia="Calibri" w:cs="Times New Roman"/>
        </w:rPr>
        <w:t>19, for Fiscal Year 2020</w:t>
      </w:r>
      <w:r>
        <w:rPr>
          <w:rFonts w:eastAsia="Calibri" w:cs="Times New Roman"/>
        </w:rPr>
        <w:noBreakHyphen/>
      </w:r>
      <w:r w:rsidRPr="006E7BA7">
        <w:rPr>
          <w:rFonts w:eastAsia="Calibri" w:cs="Times New Roman"/>
        </w:rPr>
        <w:t>21, the earnings limitation imposed pursuant to Section 9</w:t>
      </w:r>
      <w:r>
        <w:rPr>
          <w:rFonts w:eastAsia="Calibri" w:cs="Times New Roman"/>
        </w:rPr>
        <w:noBreakHyphen/>
      </w:r>
      <w:r w:rsidRPr="006E7BA7">
        <w:rPr>
          <w:rFonts w:eastAsia="Calibri" w:cs="Times New Roman"/>
        </w:rPr>
        <w:t>1</w:t>
      </w:r>
      <w:r>
        <w:rPr>
          <w:rFonts w:eastAsia="Calibri" w:cs="Times New Roman"/>
        </w:rPr>
        <w:noBreakHyphen/>
      </w:r>
      <w:r w:rsidRPr="006E7BA7">
        <w:rPr>
          <w:rFonts w:eastAsia="Calibri" w:cs="Times New Roman"/>
        </w:rPr>
        <w:t>1790 and Section 9</w:t>
      </w:r>
      <w:r>
        <w:rPr>
          <w:rFonts w:eastAsia="Calibri" w:cs="Times New Roman"/>
        </w:rPr>
        <w:noBreakHyphen/>
      </w:r>
      <w:r w:rsidRPr="006E7BA7">
        <w:rPr>
          <w:rFonts w:eastAsia="Calibri" w:cs="Times New Roman"/>
        </w:rPr>
        <w:t>11</w:t>
      </w:r>
      <w:r>
        <w:rPr>
          <w:rFonts w:eastAsia="Calibri" w:cs="Times New Roman"/>
        </w:rPr>
        <w:noBreakHyphen/>
      </w:r>
      <w:r w:rsidRPr="006E7BA7">
        <w:rPr>
          <w:rFonts w:eastAsia="Calibri" w:cs="Times New Roman"/>
        </w:rPr>
        <w:t>90 of the 1976 Code does not apply to retired members of the South Carolina Retirement System or the Police Officers Retirement System who return to covered employment to participate in the state</w:t>
      </w:r>
      <w:r w:rsidRPr="00041126">
        <w:rPr>
          <w:rFonts w:eastAsia="Calibri" w:cs="Times New Roman"/>
        </w:rPr>
        <w:t>’</w:t>
      </w:r>
      <w:r w:rsidRPr="006E7BA7">
        <w:rPr>
          <w:rFonts w:eastAsia="Calibri" w:cs="Times New Roman"/>
        </w:rPr>
        <w:t>s public health preparedness and response to the COVID</w:t>
      </w:r>
      <w:r>
        <w:rPr>
          <w:rFonts w:eastAsia="Calibri" w:cs="Times New Roman"/>
        </w:rPr>
        <w:noBreakHyphen/>
      </w:r>
      <w:r w:rsidRPr="006E7BA7">
        <w:rPr>
          <w:rFonts w:eastAsia="Calibri" w:cs="Times New Roman"/>
        </w:rPr>
        <w:t>19 virus.  To the extent allowed by the CARES Act, the Public Employee Benefit Authority may apply to have its implementation costs to be reimbursed.</w:t>
      </w:r>
      <w:r w:rsidRPr="006E7BA7">
        <w:rPr>
          <w:rFonts w:eastAsia="Calibri" w:cs="Times New Roman"/>
        </w:rPr>
        <w:tab/>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6E7BA7">
        <w:rPr>
          <w:rFonts w:cs="Times New Roman"/>
          <w:u w:color="000000"/>
        </w:rPr>
        <w:t>SECTION</w:t>
      </w:r>
      <w:r w:rsidRPr="006E7BA7">
        <w:rPr>
          <w:rFonts w:cs="Times New Roman"/>
          <w:u w:color="000000"/>
        </w:rPr>
        <w:tab/>
        <w:t>16.</w:t>
      </w:r>
      <w:r w:rsidRPr="006E7BA7">
        <w:rPr>
          <w:rFonts w:cs="Times New Roman"/>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2B1EDF" w:rsidRPr="006E7BA7"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6E7BA7">
        <w:rPr>
          <w:rFonts w:cs="Times New Roman"/>
          <w:u w:color="000000"/>
        </w:rPr>
        <w:t>SECTION</w:t>
      </w:r>
      <w:r w:rsidRPr="006E7BA7">
        <w:rPr>
          <w:rFonts w:cs="Times New Roman"/>
          <w:u w:color="000000"/>
        </w:rPr>
        <w:tab/>
        <w:t>17.</w:t>
      </w:r>
      <w:r w:rsidRPr="006E7BA7">
        <w:rPr>
          <w:rFonts w:cs="Times New Roman"/>
          <w:u w:color="000000"/>
        </w:rPr>
        <w:tab/>
        <w:t>The provisions of this act take effect upon approval of the Governor.</w:t>
      </w:r>
    </w:p>
    <w:p w:rsidR="002B1EDF"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B1EDF" w:rsidRDefault="002B1EDF"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2B1EDF" w:rsidRDefault="002B1EDF" w:rsidP="002B1EDF">
      <w:pPr>
        <w:jc w:val="both"/>
        <w:rPr>
          <w:color w:val="000000" w:themeColor="text1"/>
        </w:rPr>
      </w:pPr>
    </w:p>
    <w:p w:rsidR="002B1EDF" w:rsidRDefault="002B1EDF" w:rsidP="002B1EDF">
      <w:pPr>
        <w:jc w:val="both"/>
        <w:rPr>
          <w:color w:val="000000" w:themeColor="text1"/>
        </w:rPr>
      </w:pPr>
      <w:r>
        <w:rPr>
          <w:color w:val="000000" w:themeColor="text1"/>
        </w:rPr>
        <w:t>Approved the 25</w:t>
      </w:r>
      <w:r w:rsidRPr="00DA1825">
        <w:rPr>
          <w:color w:val="000000" w:themeColor="text1"/>
          <w:vertAlign w:val="superscript"/>
        </w:rPr>
        <w:t>th</w:t>
      </w:r>
      <w:r>
        <w:rPr>
          <w:color w:val="000000" w:themeColor="text1"/>
        </w:rPr>
        <w:t xml:space="preserve"> day of September, 2020. </w:t>
      </w:r>
    </w:p>
    <w:p w:rsidR="002B1EDF" w:rsidRDefault="002B1EDF" w:rsidP="002B1EDF">
      <w:pPr>
        <w:jc w:val="center"/>
        <w:rPr>
          <w:color w:val="000000" w:themeColor="text1"/>
        </w:rPr>
      </w:pPr>
    </w:p>
    <w:p w:rsidR="002B1EDF" w:rsidRDefault="002B1EDF" w:rsidP="002B1EDF">
      <w:pPr>
        <w:jc w:val="center"/>
        <w:rPr>
          <w:color w:val="000000" w:themeColor="text1"/>
        </w:rPr>
      </w:pPr>
      <w:r>
        <w:rPr>
          <w:color w:val="000000" w:themeColor="text1"/>
        </w:rPr>
        <w:t>__________</w:t>
      </w:r>
    </w:p>
    <w:p w:rsidR="00CE07B0" w:rsidRPr="00F76C67" w:rsidRDefault="00CE07B0" w:rsidP="002B1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E07B0" w:rsidRPr="00F76C67" w:rsidSect="00CE07B0">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B3C" w:rsidRDefault="00170B3C" w:rsidP="007D5FAC">
      <w:r>
        <w:separator/>
      </w:r>
    </w:p>
  </w:endnote>
  <w:endnote w:type="continuationSeparator" w:id="0">
    <w:p w:rsidR="00170B3C" w:rsidRDefault="00170B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0" w:rsidRPr="00CE07B0" w:rsidRDefault="00CE07B0" w:rsidP="00CE07B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B1EDF">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0" w:rsidRDefault="00CE0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B3C" w:rsidRDefault="00170B3C" w:rsidP="007D5FAC">
      <w:r>
        <w:separator/>
      </w:r>
    </w:p>
  </w:footnote>
  <w:footnote w:type="continuationSeparator" w:id="0">
    <w:p w:rsidR="00170B3C" w:rsidRDefault="00170B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210"/>
    <w:docVar w:name="ActSecretary" w:val="Downey"/>
    <w:docVar w:name="ActSIdno" w:val="(160)  3210DG20"/>
    <w:docVar w:name="clipname" w:val="3210DG20"/>
    <w:docVar w:name="dvBillNumber" w:val="3210"/>
    <w:docVar w:name="dvBillNumberPrefix" w:val="H"/>
    <w:docVar w:name="dvOriginalBody" w:val="House"/>
    <w:docVar w:name="HOUSEACTFULLPATH" w:val="L:\COUNCIL\ACTS\3210DG20.DOCX"/>
    <w:docVar w:name="OrigHOUSEBillNo" w:val="3210"/>
    <w:docVar w:name="WhatActtype" w:val="AN ACT"/>
  </w:docVars>
  <w:rsids>
    <w:rsidRoot w:val="00037746"/>
    <w:rsid w:val="00002DE0"/>
    <w:rsid w:val="00020349"/>
    <w:rsid w:val="00020977"/>
    <w:rsid w:val="00021B0B"/>
    <w:rsid w:val="0003557E"/>
    <w:rsid w:val="00037746"/>
    <w:rsid w:val="00040C05"/>
    <w:rsid w:val="00041126"/>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3C8"/>
    <w:rsid w:val="001030FE"/>
    <w:rsid w:val="001031AE"/>
    <w:rsid w:val="00103295"/>
    <w:rsid w:val="00103D2E"/>
    <w:rsid w:val="00104519"/>
    <w:rsid w:val="00106968"/>
    <w:rsid w:val="00111C25"/>
    <w:rsid w:val="00114917"/>
    <w:rsid w:val="001237B9"/>
    <w:rsid w:val="00131CE5"/>
    <w:rsid w:val="00135DDF"/>
    <w:rsid w:val="00136AA0"/>
    <w:rsid w:val="00141278"/>
    <w:rsid w:val="0014525A"/>
    <w:rsid w:val="001626DB"/>
    <w:rsid w:val="00164D89"/>
    <w:rsid w:val="00170B3C"/>
    <w:rsid w:val="00170F30"/>
    <w:rsid w:val="00172771"/>
    <w:rsid w:val="001747A9"/>
    <w:rsid w:val="001750EA"/>
    <w:rsid w:val="001754BB"/>
    <w:rsid w:val="0018353C"/>
    <w:rsid w:val="00195F4E"/>
    <w:rsid w:val="001A28DB"/>
    <w:rsid w:val="001A646B"/>
    <w:rsid w:val="001A75A0"/>
    <w:rsid w:val="001B183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A1C"/>
    <w:rsid w:val="002A23CF"/>
    <w:rsid w:val="002A2B87"/>
    <w:rsid w:val="002A6880"/>
    <w:rsid w:val="002A79BE"/>
    <w:rsid w:val="002A7F6D"/>
    <w:rsid w:val="002B1EDF"/>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7F4"/>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5C62"/>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533E"/>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0B2A"/>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1923"/>
    <w:rsid w:val="009434B9"/>
    <w:rsid w:val="00953BF7"/>
    <w:rsid w:val="009560AB"/>
    <w:rsid w:val="009631DC"/>
    <w:rsid w:val="009634D4"/>
    <w:rsid w:val="00966B42"/>
    <w:rsid w:val="00971351"/>
    <w:rsid w:val="0097332E"/>
    <w:rsid w:val="00974FD7"/>
    <w:rsid w:val="00980444"/>
    <w:rsid w:val="00982E93"/>
    <w:rsid w:val="00984472"/>
    <w:rsid w:val="00993266"/>
    <w:rsid w:val="00996296"/>
    <w:rsid w:val="009B0FA5"/>
    <w:rsid w:val="009B1F99"/>
    <w:rsid w:val="009B6EA6"/>
    <w:rsid w:val="009D0B32"/>
    <w:rsid w:val="009D2E1D"/>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2A75"/>
    <w:rsid w:val="00B83DA1"/>
    <w:rsid w:val="00B846E9"/>
    <w:rsid w:val="00B903B0"/>
    <w:rsid w:val="00B92CEA"/>
    <w:rsid w:val="00BB1593"/>
    <w:rsid w:val="00BB43F6"/>
    <w:rsid w:val="00BB5571"/>
    <w:rsid w:val="00BB6EF3"/>
    <w:rsid w:val="00BC5FF9"/>
    <w:rsid w:val="00BC6307"/>
    <w:rsid w:val="00BE36EB"/>
    <w:rsid w:val="00BE41F8"/>
    <w:rsid w:val="00BF1B60"/>
    <w:rsid w:val="00BF2034"/>
    <w:rsid w:val="00BF33CD"/>
    <w:rsid w:val="00BF352D"/>
    <w:rsid w:val="00BF7E25"/>
    <w:rsid w:val="00C0158B"/>
    <w:rsid w:val="00C02F6F"/>
    <w:rsid w:val="00C03629"/>
    <w:rsid w:val="00C06FF3"/>
    <w:rsid w:val="00C1173A"/>
    <w:rsid w:val="00C15148"/>
    <w:rsid w:val="00C15176"/>
    <w:rsid w:val="00C216F6"/>
    <w:rsid w:val="00C230AF"/>
    <w:rsid w:val="00C34674"/>
    <w:rsid w:val="00C3483A"/>
    <w:rsid w:val="00C45263"/>
    <w:rsid w:val="00C46AB4"/>
    <w:rsid w:val="00C55195"/>
    <w:rsid w:val="00C7071A"/>
    <w:rsid w:val="00C748CB"/>
    <w:rsid w:val="00C74E9D"/>
    <w:rsid w:val="00C81812"/>
    <w:rsid w:val="00C837F6"/>
    <w:rsid w:val="00C84E0F"/>
    <w:rsid w:val="00C92B7D"/>
    <w:rsid w:val="00C94E59"/>
    <w:rsid w:val="00C97CB8"/>
    <w:rsid w:val="00CA4CD7"/>
    <w:rsid w:val="00CA5358"/>
    <w:rsid w:val="00CA7497"/>
    <w:rsid w:val="00CB08A1"/>
    <w:rsid w:val="00CB12FE"/>
    <w:rsid w:val="00CC2825"/>
    <w:rsid w:val="00CE07B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A37"/>
    <w:rsid w:val="00DC5BC6"/>
    <w:rsid w:val="00DC6CFE"/>
    <w:rsid w:val="00DD2595"/>
    <w:rsid w:val="00DD314B"/>
    <w:rsid w:val="00DD3B8D"/>
    <w:rsid w:val="00DD5167"/>
    <w:rsid w:val="00DD557D"/>
    <w:rsid w:val="00DF0164"/>
    <w:rsid w:val="00DF0E69"/>
    <w:rsid w:val="00E00FC9"/>
    <w:rsid w:val="00E02CA8"/>
    <w:rsid w:val="00E0650C"/>
    <w:rsid w:val="00E06B5E"/>
    <w:rsid w:val="00E076BB"/>
    <w:rsid w:val="00E12A12"/>
    <w:rsid w:val="00E140B1"/>
    <w:rsid w:val="00E14905"/>
    <w:rsid w:val="00E224B6"/>
    <w:rsid w:val="00E33964"/>
    <w:rsid w:val="00E33DFF"/>
    <w:rsid w:val="00E3462F"/>
    <w:rsid w:val="00E36231"/>
    <w:rsid w:val="00E43E57"/>
    <w:rsid w:val="00E500F1"/>
    <w:rsid w:val="00E5358E"/>
    <w:rsid w:val="00E60357"/>
    <w:rsid w:val="00E61B4C"/>
    <w:rsid w:val="00E71D4E"/>
    <w:rsid w:val="00E757F4"/>
    <w:rsid w:val="00E9303D"/>
    <w:rsid w:val="00EA2A3A"/>
    <w:rsid w:val="00EA77B0"/>
    <w:rsid w:val="00EB18D7"/>
    <w:rsid w:val="00EB223A"/>
    <w:rsid w:val="00EC47CE"/>
    <w:rsid w:val="00EC4D8C"/>
    <w:rsid w:val="00EC6E54"/>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C67"/>
    <w:rsid w:val="00F80C6A"/>
    <w:rsid w:val="00F82CF6"/>
    <w:rsid w:val="00F86999"/>
    <w:rsid w:val="00FA1206"/>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7C8FB95-6307-437B-A109-DB30F084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E07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1517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E07B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84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409.docx" TargetMode="External"/><Relationship Id="rId18" Type="http://schemas.openxmlformats.org/officeDocument/2006/relationships/hyperlink" Target="file:///h:\sj\20200915.docx" TargetMode="External"/><Relationship Id="rId26" Type="http://schemas.openxmlformats.org/officeDocument/2006/relationships/hyperlink" Target="file:///h:\sj\20200917.docx" TargetMode="External"/><Relationship Id="rId39" Type="http://schemas.openxmlformats.org/officeDocument/2006/relationships/hyperlink" Target="file:///p:\pprever\2019-20\3210_20200916.docx" TargetMode="External"/><Relationship Id="rId3" Type="http://schemas.openxmlformats.org/officeDocument/2006/relationships/settings" Target="settings.xml"/><Relationship Id="rId21" Type="http://schemas.openxmlformats.org/officeDocument/2006/relationships/hyperlink" Target="file:///h:\sj\20200915.docx" TargetMode="External"/><Relationship Id="rId34" Type="http://schemas.openxmlformats.org/officeDocument/2006/relationships/hyperlink" Target="file:///h:\sj\20200923.docx" TargetMode="External"/><Relationship Id="rId42" Type="http://schemas.openxmlformats.org/officeDocument/2006/relationships/footer" Target="footer1.xml"/><Relationship Id="rId7" Type="http://schemas.openxmlformats.org/officeDocument/2006/relationships/hyperlink" Target="file:///h:\hj\20190108.docx" TargetMode="External"/><Relationship Id="rId12" Type="http://schemas.openxmlformats.org/officeDocument/2006/relationships/hyperlink" Target="file:///h:\hj\20190409.docx" TargetMode="External"/><Relationship Id="rId17" Type="http://schemas.openxmlformats.org/officeDocument/2006/relationships/hyperlink" Target="file:///h:\sj\20200915.docx" TargetMode="External"/><Relationship Id="rId25" Type="http://schemas.openxmlformats.org/officeDocument/2006/relationships/hyperlink" Target="file:///h:\hj\20200916.docx" TargetMode="External"/><Relationship Id="rId33" Type="http://schemas.openxmlformats.org/officeDocument/2006/relationships/hyperlink" Target="file:///h:\sj\20200923.docx" TargetMode="External"/><Relationship Id="rId38" Type="http://schemas.openxmlformats.org/officeDocument/2006/relationships/hyperlink" Target="file:///p:\pprever\2019-20\3210_20200915.docx" TargetMode="External"/><Relationship Id="rId2" Type="http://schemas.openxmlformats.org/officeDocument/2006/relationships/styles" Target="styles.xml"/><Relationship Id="rId16" Type="http://schemas.openxmlformats.org/officeDocument/2006/relationships/hyperlink" Target="file:///h:\sj\20190410.docx" TargetMode="External"/><Relationship Id="rId20" Type="http://schemas.openxmlformats.org/officeDocument/2006/relationships/hyperlink" Target="file:///h:\sj\20200915.docx" TargetMode="External"/><Relationship Id="rId29" Type="http://schemas.openxmlformats.org/officeDocument/2006/relationships/hyperlink" Target="file:///h:\sj\20200922.docx" TargetMode="External"/><Relationship Id="rId41" Type="http://schemas.openxmlformats.org/officeDocument/2006/relationships/hyperlink" Target="file:///p:\pprever\2019-20\3210_202009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27.docx" TargetMode="External"/><Relationship Id="rId24" Type="http://schemas.openxmlformats.org/officeDocument/2006/relationships/hyperlink" Target="file:///h:\hj\20200916.docx" TargetMode="External"/><Relationship Id="rId32" Type="http://schemas.openxmlformats.org/officeDocument/2006/relationships/hyperlink" Target="file:///h:\sj\20200923.docx" TargetMode="External"/><Relationship Id="rId37" Type="http://schemas.openxmlformats.org/officeDocument/2006/relationships/hyperlink" Target="file:///p:\pprever\2019-20\3210_20190327.docx" TargetMode="External"/><Relationship Id="rId40" Type="http://schemas.openxmlformats.org/officeDocument/2006/relationships/hyperlink" Target="file:///p:\pprever\2019-20\3210_20200916A.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file:///h:\hj\20200916.docx" TargetMode="External"/><Relationship Id="rId28" Type="http://schemas.openxmlformats.org/officeDocument/2006/relationships/hyperlink" Target="file:///h:\sj\20200917.docx" TargetMode="External"/><Relationship Id="rId36" Type="http://schemas.openxmlformats.org/officeDocument/2006/relationships/hyperlink" Target="file:///p:\pprever\2019-20\3210_20181218.docx" TargetMode="External"/><Relationship Id="rId10" Type="http://schemas.openxmlformats.org/officeDocument/2006/relationships/hyperlink" Target="file:///h:\hj\20190129.docx" TargetMode="External"/><Relationship Id="rId19" Type="http://schemas.openxmlformats.org/officeDocument/2006/relationships/hyperlink" Target="file:///h:\sj\20200915.docx" TargetMode="External"/><Relationship Id="rId31" Type="http://schemas.openxmlformats.org/officeDocument/2006/relationships/hyperlink" Target="file:///h:\hj\20200923.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90129.docx" TargetMode="External"/><Relationship Id="rId14" Type="http://schemas.openxmlformats.org/officeDocument/2006/relationships/hyperlink" Target="file:///h:\hj\20190410.docx" TargetMode="External"/><Relationship Id="rId22" Type="http://schemas.openxmlformats.org/officeDocument/2006/relationships/hyperlink" Target="file:///h:\sj\20200916.docx" TargetMode="External"/><Relationship Id="rId27" Type="http://schemas.openxmlformats.org/officeDocument/2006/relationships/hyperlink" Target="file:///h:\hj\20200916.docx" TargetMode="External"/><Relationship Id="rId30" Type="http://schemas.openxmlformats.org/officeDocument/2006/relationships/hyperlink" Target="file:///h:\hj\20200923.docx" TargetMode="External"/><Relationship Id="rId35" Type="http://schemas.openxmlformats.org/officeDocument/2006/relationships/hyperlink" Target="http://www.scstatehouse.gov/billsearch.php?billnumbers=3210&amp;session=123&amp;summary=B"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D323-637F-48A8-851F-6CB3AA74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F3BE904A</Template>
  <TotalTime>0</TotalTime>
  <Pages>11</Pages>
  <Words>3890</Words>
  <Characters>22175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3210: CARES Act - South Carolina Legislature Online</dc:title>
  <dc:subject/>
  <dc:creator>Niki Downey</dc:creator>
  <cp:keywords/>
  <dc:description/>
  <cp:lastModifiedBy>Lavarres Lynch</cp:lastModifiedBy>
  <cp:revision>2</cp:revision>
  <cp:lastPrinted>2020-09-23T19:17:00Z</cp:lastPrinted>
  <dcterms:created xsi:type="dcterms:W3CDTF">2020-10-06T13:47:00Z</dcterms:created>
  <dcterms:modified xsi:type="dcterms:W3CDTF">2020-10-06T13:47:00Z</dcterms:modified>
</cp:coreProperties>
</file>