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9C2" w:rsidRDefault="00E139C2" w:rsidP="00E139C2">
      <w:pPr>
        <w:widowControl w:val="0"/>
        <w:jc w:val="center"/>
      </w:pPr>
      <w:r w:rsidRPr="00E139C2">
        <w:rPr>
          <w:b/>
        </w:rPr>
        <w:t>South Carolina General Assembly</w:t>
      </w:r>
    </w:p>
    <w:p w:rsidR="00E139C2" w:rsidRDefault="00E139C2" w:rsidP="00E139C2">
      <w:pPr>
        <w:widowControl w:val="0"/>
        <w:jc w:val="center"/>
      </w:pPr>
      <w:r>
        <w:t>123rd Session, 2019-2020</w:t>
      </w:r>
    </w:p>
    <w:p w:rsidR="00E139C2" w:rsidRDefault="00E139C2" w:rsidP="00E139C2">
      <w:pPr>
        <w:widowControl w:val="0"/>
        <w:jc w:val="left"/>
      </w:pPr>
    </w:p>
    <w:p w:rsidR="00E139C2" w:rsidRDefault="00E139C2" w:rsidP="00E139C2">
      <w:pPr>
        <w:widowControl w:val="0"/>
        <w:jc w:val="left"/>
        <w:rPr>
          <w:b/>
        </w:rPr>
      </w:pPr>
      <w:r w:rsidRPr="00E139C2">
        <w:rPr>
          <w:b/>
        </w:rPr>
        <w:t>H. 3589</w:t>
      </w:r>
    </w:p>
    <w:p w:rsidR="00E139C2" w:rsidRDefault="00E139C2" w:rsidP="00E139C2">
      <w:pPr>
        <w:widowControl w:val="0"/>
        <w:jc w:val="left"/>
        <w:rPr>
          <w:b/>
        </w:rPr>
      </w:pPr>
    </w:p>
    <w:p w:rsidR="00E139C2" w:rsidRDefault="00E139C2" w:rsidP="00E139C2">
      <w:pPr>
        <w:widowControl w:val="0"/>
        <w:jc w:val="left"/>
      </w:pPr>
      <w:r w:rsidRPr="00E139C2">
        <w:rPr>
          <w:b/>
        </w:rPr>
        <w:t>STATUS INFORMATION</w:t>
      </w:r>
    </w:p>
    <w:p w:rsidR="00E139C2" w:rsidRDefault="00E139C2" w:rsidP="00E139C2">
      <w:pPr>
        <w:widowControl w:val="0"/>
        <w:jc w:val="left"/>
      </w:pPr>
    </w:p>
    <w:p w:rsidR="00E139C2" w:rsidRDefault="00E139C2" w:rsidP="00E139C2">
      <w:pPr>
        <w:widowControl w:val="0"/>
        <w:jc w:val="left"/>
      </w:pPr>
      <w:r>
        <w:t>General Bill</w:t>
      </w:r>
    </w:p>
    <w:p w:rsidR="00E139C2" w:rsidRDefault="00944EA5" w:rsidP="00E139C2">
      <w:pPr>
        <w:widowControl w:val="0"/>
        <w:jc w:val="left"/>
      </w:pPr>
      <w:r>
        <w:t>Sponsors: Reps. Norrell, Rose and Bernstein</w:t>
      </w:r>
    </w:p>
    <w:p w:rsidR="00E139C2" w:rsidRDefault="00E139C2" w:rsidP="00E139C2">
      <w:pPr>
        <w:widowControl w:val="0"/>
        <w:jc w:val="left"/>
      </w:pPr>
      <w:r>
        <w:t>Document Path: l:\council\bills\agm\19525wab19.docx</w:t>
      </w:r>
    </w:p>
    <w:p w:rsidR="00E139C2" w:rsidRDefault="00E139C2" w:rsidP="00E139C2">
      <w:pPr>
        <w:widowControl w:val="0"/>
        <w:jc w:val="left"/>
      </w:pPr>
    </w:p>
    <w:p w:rsidR="00E139C2" w:rsidRDefault="00E139C2" w:rsidP="00E139C2">
      <w:pPr>
        <w:widowControl w:val="0"/>
        <w:jc w:val="left"/>
      </w:pPr>
      <w:r>
        <w:t>Introduced in the House on January 15, 2019</w:t>
      </w:r>
    </w:p>
    <w:p w:rsidR="00E139C2" w:rsidRDefault="00E139C2" w:rsidP="00E139C2">
      <w:pPr>
        <w:widowControl w:val="0"/>
        <w:jc w:val="left"/>
      </w:pPr>
      <w:r>
        <w:t xml:space="preserve">Currently residing in the House Committee on </w:t>
      </w:r>
      <w:r w:rsidRPr="00E139C2">
        <w:rPr>
          <w:b/>
        </w:rPr>
        <w:t>Judiciary</w:t>
      </w:r>
    </w:p>
    <w:p w:rsidR="00E139C2" w:rsidRDefault="00E139C2" w:rsidP="00E139C2">
      <w:pPr>
        <w:widowControl w:val="0"/>
        <w:jc w:val="left"/>
      </w:pPr>
    </w:p>
    <w:p w:rsidR="00E139C2" w:rsidRDefault="00E139C2" w:rsidP="00E139C2">
      <w:pPr>
        <w:widowControl w:val="0"/>
        <w:jc w:val="left"/>
      </w:pPr>
      <w:r>
        <w:t xml:space="preserve">Summary: </w:t>
      </w:r>
      <w:r w:rsidR="00EA40B5">
        <w:t>Unlawful employment practices</w:t>
      </w:r>
    </w:p>
    <w:p w:rsidR="00E139C2" w:rsidRDefault="00E139C2" w:rsidP="00E139C2">
      <w:pPr>
        <w:widowControl w:val="0"/>
        <w:jc w:val="left"/>
      </w:pPr>
    </w:p>
    <w:p w:rsidR="00E139C2" w:rsidRDefault="00E139C2" w:rsidP="00E139C2">
      <w:pPr>
        <w:widowControl w:val="0"/>
        <w:jc w:val="left"/>
      </w:pPr>
    </w:p>
    <w:p w:rsidR="00E139C2" w:rsidRDefault="00E139C2" w:rsidP="00E139C2">
      <w:pPr>
        <w:widowControl w:val="0"/>
        <w:tabs>
          <w:tab w:val="center" w:pos="590"/>
          <w:tab w:val="center" w:pos="1440"/>
          <w:tab w:val="left" w:pos="1872"/>
          <w:tab w:val="left" w:pos="9187"/>
        </w:tabs>
        <w:jc w:val="left"/>
      </w:pPr>
      <w:r w:rsidRPr="00E139C2">
        <w:rPr>
          <w:b/>
        </w:rPr>
        <w:t>HISTORY OF LEGISLATIVE ACTIONS</w:t>
      </w:r>
    </w:p>
    <w:p w:rsidR="00E139C2" w:rsidRDefault="00E139C2" w:rsidP="00E139C2">
      <w:pPr>
        <w:widowControl w:val="0"/>
        <w:tabs>
          <w:tab w:val="center" w:pos="590"/>
          <w:tab w:val="center" w:pos="1440"/>
          <w:tab w:val="left" w:pos="1872"/>
          <w:tab w:val="left" w:pos="9187"/>
        </w:tabs>
        <w:jc w:val="left"/>
      </w:pPr>
    </w:p>
    <w:p w:rsidR="00E139C2" w:rsidRPr="00E139C2" w:rsidRDefault="00E139C2" w:rsidP="00E139C2">
      <w:pPr>
        <w:widowControl w:val="0"/>
        <w:tabs>
          <w:tab w:val="center" w:pos="590"/>
          <w:tab w:val="center" w:pos="1440"/>
          <w:tab w:val="left" w:pos="1872"/>
          <w:tab w:val="left" w:pos="9187"/>
        </w:tabs>
        <w:jc w:val="left"/>
      </w:pPr>
      <w:r w:rsidRPr="00E139C2">
        <w:rPr>
          <w:u w:val="single"/>
        </w:rPr>
        <w:tab/>
        <w:t>Date</w:t>
      </w:r>
      <w:r w:rsidRPr="00E139C2">
        <w:rPr>
          <w:u w:val="single"/>
        </w:rPr>
        <w:tab/>
        <w:t>Body</w:t>
      </w:r>
      <w:r w:rsidRPr="00E139C2">
        <w:rPr>
          <w:u w:val="single"/>
        </w:rPr>
        <w:tab/>
        <w:t>Action Description with journal page number</w:t>
      </w:r>
      <w:r w:rsidRPr="00E139C2">
        <w:rPr>
          <w:u w:val="single"/>
        </w:rPr>
        <w:tab/>
      </w:r>
    </w:p>
    <w:p w:rsidR="00944EA5" w:rsidRDefault="00944EA5" w:rsidP="00944EA5">
      <w:pPr>
        <w:widowControl w:val="0"/>
        <w:tabs>
          <w:tab w:val="right" w:pos="1008"/>
          <w:tab w:val="left" w:pos="1152"/>
          <w:tab w:val="left" w:pos="1872"/>
          <w:tab w:val="left" w:pos="9187"/>
        </w:tabs>
        <w:ind w:left="2088" w:hanging="2088"/>
      </w:pPr>
      <w:r>
        <w:tab/>
        <w:t>1/15/2019</w:t>
      </w:r>
      <w:r>
        <w:tab/>
        <w:t>House</w:t>
      </w:r>
      <w:r>
        <w:tab/>
      </w:r>
      <w:r w:rsidRPr="002E0975">
        <w:t>Introduced and read first time (</w:t>
      </w:r>
      <w:hyperlink r:id="rId7" w:history="1">
        <w:r w:rsidRPr="002E0975">
          <w:rPr>
            <w:rStyle w:val="Hyperlink"/>
          </w:rPr>
          <w:t>House Journal</w:t>
        </w:r>
        <w:r w:rsidRPr="002E0975">
          <w:rPr>
            <w:rStyle w:val="Hyperlink"/>
          </w:rPr>
          <w:noBreakHyphen/>
          <w:t>page 77</w:t>
        </w:r>
      </w:hyperlink>
      <w:r w:rsidRPr="002E0975">
        <w:t>)</w:t>
      </w:r>
    </w:p>
    <w:p w:rsidR="00944EA5" w:rsidRDefault="00944EA5" w:rsidP="00944EA5">
      <w:pPr>
        <w:widowControl w:val="0"/>
        <w:tabs>
          <w:tab w:val="right" w:pos="1008"/>
          <w:tab w:val="left" w:pos="1152"/>
          <w:tab w:val="left" w:pos="1872"/>
          <w:tab w:val="left" w:pos="9187"/>
        </w:tabs>
        <w:ind w:left="2088" w:hanging="2088"/>
      </w:pPr>
      <w:r>
        <w:tab/>
        <w:t>1/15/2019</w:t>
      </w:r>
      <w:r>
        <w:tab/>
        <w:t>House</w:t>
      </w:r>
      <w:r>
        <w:tab/>
      </w:r>
      <w:r w:rsidRPr="002E0975">
        <w:t>Ref</w:t>
      </w:r>
      <w:r>
        <w:t xml:space="preserve">erred to Committee on </w:t>
      </w:r>
      <w:r w:rsidRPr="002E0975">
        <w:rPr>
          <w:b/>
        </w:rPr>
        <w:t>Judiciary</w:t>
      </w:r>
      <w:r>
        <w:t xml:space="preserve"> </w:t>
      </w:r>
      <w:r w:rsidRPr="002E0975">
        <w:t>(</w:t>
      </w:r>
      <w:hyperlink r:id="rId8" w:history="1">
        <w:r w:rsidRPr="002E0975">
          <w:rPr>
            <w:rStyle w:val="Hyperlink"/>
          </w:rPr>
          <w:t>House Journal</w:t>
        </w:r>
        <w:r w:rsidRPr="002E0975">
          <w:rPr>
            <w:rStyle w:val="Hyperlink"/>
          </w:rPr>
          <w:noBreakHyphen/>
          <w:t>page 77</w:t>
        </w:r>
      </w:hyperlink>
      <w:r w:rsidRPr="002E0975">
        <w:t>)</w:t>
      </w:r>
    </w:p>
    <w:p w:rsidR="00944EA5" w:rsidRDefault="00944EA5" w:rsidP="00944EA5">
      <w:pPr>
        <w:widowControl w:val="0"/>
        <w:tabs>
          <w:tab w:val="right" w:pos="1008"/>
          <w:tab w:val="left" w:pos="1152"/>
          <w:tab w:val="left" w:pos="1872"/>
          <w:tab w:val="left" w:pos="9187"/>
        </w:tabs>
        <w:ind w:left="2088" w:hanging="2088"/>
      </w:pPr>
      <w:r>
        <w:tab/>
        <w:t>1/29/2019</w:t>
      </w:r>
      <w:r>
        <w:tab/>
        <w:t>House</w:t>
      </w:r>
      <w:r>
        <w:tab/>
      </w:r>
      <w:r w:rsidRPr="002E0975">
        <w:t>Member(s) request name added as sponsor: Bernstein</w:t>
      </w:r>
    </w:p>
    <w:p w:rsidR="00944EA5" w:rsidRDefault="00944EA5" w:rsidP="00944EA5">
      <w:pPr>
        <w:widowControl w:val="0"/>
        <w:tabs>
          <w:tab w:val="right" w:pos="1008"/>
          <w:tab w:val="left" w:pos="1152"/>
          <w:tab w:val="left" w:pos="1872"/>
          <w:tab w:val="left" w:pos="9187"/>
        </w:tabs>
        <w:ind w:left="2088" w:hanging="2088"/>
      </w:pPr>
    </w:p>
    <w:p w:rsidR="00E139C2" w:rsidRDefault="00E139C2" w:rsidP="00E139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39C2">
          <w:rPr>
            <w:rStyle w:val="Hyperlink"/>
          </w:rPr>
          <w:t>legislative information</w:t>
        </w:r>
      </w:hyperlink>
      <w:r>
        <w:t xml:space="preserve"> at the website</w:t>
      </w:r>
    </w:p>
    <w:p w:rsidR="00E139C2" w:rsidRDefault="00E139C2" w:rsidP="00E139C2">
      <w:pPr>
        <w:widowControl w:val="0"/>
        <w:tabs>
          <w:tab w:val="right" w:pos="1008"/>
          <w:tab w:val="left" w:pos="1152"/>
          <w:tab w:val="left" w:pos="1872"/>
          <w:tab w:val="left" w:pos="9187"/>
        </w:tabs>
        <w:ind w:left="2088" w:hanging="2088"/>
        <w:jc w:val="left"/>
      </w:pPr>
    </w:p>
    <w:p w:rsidR="00E139C2" w:rsidRPr="00E139C2" w:rsidRDefault="00E139C2" w:rsidP="00E139C2">
      <w:pPr>
        <w:widowControl w:val="0"/>
        <w:tabs>
          <w:tab w:val="right" w:pos="1008"/>
          <w:tab w:val="left" w:pos="1152"/>
          <w:tab w:val="left" w:pos="1872"/>
          <w:tab w:val="left" w:pos="9187"/>
        </w:tabs>
        <w:ind w:left="2088" w:hanging="2088"/>
        <w:jc w:val="left"/>
      </w:pPr>
    </w:p>
    <w:p w:rsidR="00E139C2" w:rsidRDefault="00E139C2" w:rsidP="00E139C2">
      <w:pPr>
        <w:widowControl w:val="0"/>
        <w:jc w:val="left"/>
      </w:pPr>
      <w:r w:rsidRPr="00E139C2">
        <w:rPr>
          <w:b/>
        </w:rPr>
        <w:t>VERSIONS OF THIS BILL</w:t>
      </w:r>
    </w:p>
    <w:p w:rsidR="00E139C2" w:rsidRDefault="00E139C2" w:rsidP="00E139C2">
      <w:pPr>
        <w:widowControl w:val="0"/>
        <w:jc w:val="left"/>
      </w:pPr>
    </w:p>
    <w:p w:rsidR="00E139C2" w:rsidRDefault="00994C9F" w:rsidP="00E139C2">
      <w:pPr>
        <w:widowControl w:val="0"/>
        <w:jc w:val="left"/>
      </w:pPr>
      <w:hyperlink r:id="rId10" w:history="1">
        <w:r w:rsidR="00E139C2">
          <w:rPr>
            <w:rStyle w:val="Hyperlink"/>
          </w:rPr>
          <w:t>1/15/2019</w:t>
        </w:r>
      </w:hyperlink>
    </w:p>
    <w:p w:rsidR="00E139C2" w:rsidRDefault="00E139C2" w:rsidP="00E139C2"/>
    <w:p w:rsidR="00E139C2" w:rsidRDefault="00E139C2" w:rsidP="00E139C2">
      <w:pPr>
        <w:sectPr w:rsidR="00E139C2" w:rsidSect="00E139C2">
          <w:pgSz w:w="12240" w:h="15840" w:code="1"/>
          <w:pgMar w:top="1080" w:right="1440" w:bottom="1080" w:left="1440" w:header="720" w:footer="720" w:gutter="0"/>
          <w:cols w:space="720"/>
          <w:noEndnote/>
          <w:docGrid w:linePitch="360"/>
        </w:sectPr>
      </w:pPr>
    </w:p>
    <w:p w:rsidR="00E0780E" w:rsidRDefault="00E0780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7D" w:rsidRPr="00A837AC"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bookmarkStart w:id="3" w:name="titletop"/>
      <w:bookmarkEnd w:id="3"/>
      <w:r w:rsidRPr="00FF41F6">
        <w:t>TO AMEND SECTION 1</w:t>
      </w:r>
      <w:r w:rsidR="00434316">
        <w:noBreakHyphen/>
      </w:r>
      <w:r w:rsidRPr="00FF41F6">
        <w:t>13</w:t>
      </w:r>
      <w:r w:rsidR="00434316">
        <w:noBreakHyphen/>
      </w:r>
      <w:r w:rsidRPr="00FF41F6">
        <w:t xml:space="preserve">80, AS AMENDED, </w:t>
      </w:r>
      <w:r>
        <w:t xml:space="preserve">CODE OF LAWS OF SOUTH CAROLINA, 1976, </w:t>
      </w:r>
      <w:r w:rsidRPr="00FF41F6">
        <w:t>RELATING TO UNLAWFUL EMPLOYMENT PRACTICES UNDER THE SOUTH CAROLINA CONSUMER AFFAIRS LAW, SO AS TO PROHIBIT CERTAIN EMPLOYMENT PRACTICES INVOLVING DISCLOSURES OF INFORMATION ABOUT WAGES AND WAGE HISTORIES, AND TO REQUIRE EMPLOYERS TO PROVIDE WAGE RANGES FOR EMPLOYMENT POSITIONS TO PROSPECTIVE EMPLOYEES UPON REQUEST.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F4C" w:rsidRDefault="005B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F4C" w:rsidRDefault="005B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7D" w:rsidRDefault="005B4F4C"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r>
        <w:t>SECTION</w:t>
      </w:r>
      <w:r>
        <w:tab/>
        <w:t>1.</w:t>
      </w:r>
      <w:r>
        <w:tab/>
      </w:r>
      <w:r w:rsidR="0057317D">
        <w:rPr>
          <w:rStyle w:val="apple-converted-space"/>
          <w:bCs/>
        </w:rPr>
        <w:t>Section 1</w:t>
      </w:r>
      <w:r w:rsidR="00434316">
        <w:rPr>
          <w:rStyle w:val="apple-converted-space"/>
          <w:bCs/>
        </w:rPr>
        <w:noBreakHyphen/>
      </w:r>
      <w:r w:rsidR="0057317D">
        <w:rPr>
          <w:rStyle w:val="apple-converted-space"/>
          <w:bCs/>
        </w:rPr>
        <w:t>13</w:t>
      </w:r>
      <w:r w:rsidR="00434316">
        <w:rPr>
          <w:rStyle w:val="apple-converted-space"/>
          <w:bCs/>
        </w:rPr>
        <w:noBreakHyphen/>
      </w:r>
      <w:r w:rsidR="0057317D">
        <w:rPr>
          <w:rStyle w:val="apple-converted-space"/>
          <w:bCs/>
        </w:rPr>
        <w:t>80 of the 1976 Code, as last amended by Act 244 of 2018, is further amended to read:</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Style w:val="apple-converted-space"/>
          <w:bCs/>
        </w:rPr>
        <w:tab/>
        <w:t>“Section 1</w:t>
      </w:r>
      <w:r w:rsidR="00434316">
        <w:rPr>
          <w:rStyle w:val="apple-converted-space"/>
          <w:bCs/>
        </w:rPr>
        <w:noBreakHyphen/>
      </w:r>
      <w:r>
        <w:rPr>
          <w:rStyle w:val="apple-converted-space"/>
          <w:bCs/>
        </w:rPr>
        <w:t>13</w:t>
      </w:r>
      <w:r w:rsidR="00434316">
        <w:rPr>
          <w:rStyle w:val="apple-converted-space"/>
          <w:bCs/>
        </w:rPr>
        <w:noBreakHyphen/>
      </w:r>
      <w:r>
        <w:rPr>
          <w:rStyle w:val="apple-converted-space"/>
          <w:bCs/>
        </w:rPr>
        <w:t>80.</w:t>
      </w:r>
      <w:r>
        <w:rPr>
          <w:rStyle w:val="apple-converted-space"/>
          <w:bCs/>
        </w:rPr>
        <w:tab/>
        <w:t>(A)</w:t>
      </w:r>
      <w:r>
        <w:rPr>
          <w:rStyle w:val="apple-converted-space"/>
          <w:bCs/>
        </w:rPr>
        <w:tab/>
      </w:r>
      <w:r w:rsidRPr="001115D0">
        <w:t>It is an unlawful employment practice for an employer: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fail or refuse to hire, bar, discharge from employment, or otherwise discriminate against an individual with respect to the individual</w:t>
      </w:r>
      <w:r w:rsidR="00434316" w:rsidRPr="00434316">
        <w:t>’</w:t>
      </w:r>
      <w:r w:rsidRPr="001115D0">
        <w:t>s compensation or terms, conditions, or privileges of employment because of the individual</w:t>
      </w:r>
      <w:r w:rsidR="00434316" w:rsidRPr="00434316">
        <w:t>’</w:t>
      </w:r>
      <w:r w:rsidRPr="001115D0">
        <w:t>s race, religion, color,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115D0">
        <w:t>to limit, segregate, or classify employees or applicants for employment in a way which would deprive or tend to deprive an individual of employment opportunities, or otherwise adversely affect the individual</w:t>
      </w:r>
      <w:r w:rsidR="00434316" w:rsidRPr="00434316">
        <w:t>’</w:t>
      </w:r>
      <w:r w:rsidRPr="001115D0">
        <w:t>s status as an employee, because of the individual</w:t>
      </w:r>
      <w:r w:rsidR="00434316" w:rsidRPr="00434316">
        <w:t>’</w:t>
      </w:r>
      <w:r w:rsidRPr="001115D0">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115D0">
        <w:t>to reduce the wage rate of an employee in order to comply with the provisions of this chapter relating to age;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lastRenderedPageBreak/>
        <w:tab/>
      </w:r>
      <w:r w:rsidRPr="001115D0">
        <w:tab/>
        <w:t>(4)(a)</w:t>
      </w:r>
      <w:r>
        <w:tab/>
      </w:r>
      <w:r w:rsidRPr="001115D0">
        <w:t>to fail or refuse to make reasonable accommodations for medical needs arising from pregnancy, childbirth, or related medical conditions of an applicant for employment or an employee, unless the employer can demonstrate that the accommodation would impose an undue hardship on the operation of the business of the employer;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115D0">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an employee;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115D0">
        <w:t>to require an applicant for employment or an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115D0">
        <w:t>to require an employee to take leave under any leave law or policy of the employer if another reasonable accommodation can be provided to the known limitations for medical needs arising from pregnancy, childbirth, or related medical conditions; or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115D0">
        <w:t>to take adverse action against an employee in the terms, conditions, or privileges of employment for requesting or using a reasonable accommodation to the known limitations for medical needs arising from pregnancy, childbirth, or related medical conditions.</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For the purposes of this item:</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1115D0">
        <w:tab/>
        <w:t>(i)</w:t>
      </w:r>
      <w:r>
        <w:tab/>
      </w:r>
      <w:r>
        <w:tab/>
      </w:r>
      <w:r w:rsidRPr="001115D0">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tab/>
      </w:r>
      <w:r>
        <w:tab/>
      </w:r>
      <w:r>
        <w:tab/>
        <w:t>(ii)</w:t>
      </w:r>
      <w:r>
        <w:tab/>
      </w:r>
      <w:r w:rsidRPr="001115D0">
        <w:t>The notice required by subsubitem (i) also must be conspicuously posted at an employer</w:t>
      </w:r>
      <w:r w:rsidR="00434316" w:rsidRPr="00434316">
        <w:t>’</w:t>
      </w:r>
      <w:r w:rsidRPr="001115D0">
        <w:t>s place of business in an area accessible to employees. The commission shall develop courses of instruction and conduct ongoing public education efforts as necessary to inform employers, employees, employment agencies, and applicants for employment about their rights and responsibilities under this item.</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The commission shall develop courses of instruction and conduct ongoing public education efforts as necessary to inform employers, employees, employment agencies, and applicants for employment about their rights and responsibilities under this item.</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t>(B</w:t>
      </w:r>
      <w:r w:rsidRPr="00FF41F6">
        <w:rPr>
          <w:color w:val="000000" w:themeColor="text1"/>
          <w:u w:color="000000" w:themeColor="text1"/>
          <w:lang w:val="sv-SE"/>
        </w:rPr>
        <w:t>)</w:t>
      </w:r>
      <w:r>
        <w:rPr>
          <w:color w:val="000000" w:themeColor="text1"/>
          <w:u w:val="single" w:color="000000" w:themeColor="text1"/>
          <w:lang w:val="sv-SE"/>
        </w:rPr>
        <w:t>(1)</w:t>
      </w:r>
      <w:r w:rsidRPr="00FF41F6">
        <w:rPr>
          <w:color w:val="000000" w:themeColor="text1"/>
          <w:u w:color="000000" w:themeColor="text1"/>
          <w:lang w:val="sv-SE"/>
        </w:rPr>
        <w:tab/>
      </w:r>
      <w:r w:rsidRPr="00FF41F6">
        <w:rPr>
          <w:lang w:val="sv-SE"/>
        </w:rPr>
        <w:t>I</w:t>
      </w:r>
      <w:r w:rsidRPr="00FF41F6">
        <w:rPr>
          <w:u w:val="single"/>
          <w:lang w:val="sv-SE"/>
        </w:rPr>
        <w:t xml:space="preserve">t is an unlawful employment practice for an employer to: </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tab/>
      </w:r>
      <w:r>
        <w:rPr>
          <w:u w:val="single"/>
        </w:rPr>
        <w:t>(a)</w:t>
      </w:r>
      <w:r w:rsidRPr="00366386">
        <w:tab/>
      </w:r>
      <w:r w:rsidRPr="00FF41F6">
        <w:rPr>
          <w:u w:val="single"/>
        </w:rPr>
        <w:t>require as a condition of employment that an employee refrain from inquiring about, discussing, or disclosing his wages or the wages of another employee;</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6386">
        <w:tab/>
      </w:r>
      <w:r w:rsidRPr="00366386">
        <w:tab/>
      </w:r>
      <w:r>
        <w:rPr>
          <w:u w:val="single"/>
        </w:rPr>
        <w:t>(b</w:t>
      </w:r>
      <w:r w:rsidRPr="00FF41F6">
        <w:rPr>
          <w:u w:val="single"/>
        </w:rPr>
        <w:t>)</w:t>
      </w:r>
      <w:r w:rsidRPr="00366386">
        <w:tab/>
      </w:r>
      <w:r w:rsidRPr="00FF41F6">
        <w:rPr>
          <w:u w:val="single"/>
        </w:rPr>
        <w:t>require an employee to sign a waiver or other document which purports to deny the employee the right to disclose or discuss his wages; or</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Pr="00366386">
        <w:tab/>
      </w:r>
      <w:r w:rsidRPr="00366386">
        <w:tab/>
      </w:r>
      <w:r w:rsidRPr="00FF41F6">
        <w:rPr>
          <w:u w:val="single"/>
        </w:rPr>
        <w:t>(</w:t>
      </w:r>
      <w:r>
        <w:rPr>
          <w:u w:val="single"/>
        </w:rPr>
        <w:t>c</w:t>
      </w:r>
      <w:r w:rsidRPr="00FF41F6">
        <w:rPr>
          <w:u w:val="single"/>
        </w:rPr>
        <w:t>)</w:t>
      </w:r>
      <w:r w:rsidRPr="00366386">
        <w:tab/>
      </w:r>
      <w:r w:rsidRPr="00FF41F6">
        <w:rPr>
          <w:u w:val="single"/>
        </w:rPr>
        <w:t>discharge, formally discipline, or otherwise discriminate against an employee for inquiring about, discussing, or disclosing his wages or the wages of another employee.</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Pr="00366386">
        <w:tab/>
      </w:r>
      <w:r w:rsidRPr="00FF41F6">
        <w:rPr>
          <w:u w:val="single"/>
        </w:rPr>
        <w:t>(</w:t>
      </w:r>
      <w:r>
        <w:rPr>
          <w:u w:val="single"/>
        </w:rPr>
        <w:t>2)(a</w:t>
      </w:r>
      <w:r w:rsidRPr="00FF41F6">
        <w:rPr>
          <w:u w:val="single"/>
        </w:rPr>
        <w:t>)</w:t>
      </w:r>
      <w:r w:rsidRPr="00366386">
        <w:tab/>
      </w:r>
      <w:r w:rsidRPr="00FF41F6">
        <w:rPr>
          <w:u w:val="single"/>
          <w:lang w:val="sv-SE"/>
        </w:rPr>
        <w:t xml:space="preserve">It is an unlawful employment practice for an employer to: </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rsidRPr="00366386">
        <w:tab/>
      </w:r>
      <w:r>
        <w:tab/>
      </w:r>
      <w:r w:rsidRPr="00FF41F6">
        <w:rPr>
          <w:u w:val="single"/>
        </w:rPr>
        <w:t>(</w:t>
      </w:r>
      <w:r>
        <w:rPr>
          <w:u w:val="single"/>
        </w:rPr>
        <w:t>i</w:t>
      </w:r>
      <w:r w:rsidRPr="00FF41F6">
        <w:rPr>
          <w:u w:val="single"/>
        </w:rPr>
        <w:t>)</w:t>
      </w:r>
      <w:r w:rsidRPr="00366386">
        <w:tab/>
      </w:r>
      <w:r>
        <w:tab/>
      </w:r>
      <w:r w:rsidRPr="00FF41F6">
        <w:rPr>
          <w:u w:val="single"/>
        </w:rPr>
        <w:t>rely on the wage history of a prospective employee in considering him for employment including, but not limited to, requiring that his prior wages satisfy minimum or maximum criteria as a condition of being considered for employment;</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Pr>
          <w:color w:val="000000" w:themeColor="text1"/>
          <w:u w:color="000000" w:themeColor="text1"/>
          <w:lang w:val="sv-SE"/>
        </w:rPr>
        <w:tab/>
      </w:r>
      <w:r w:rsidRPr="00FF41F6">
        <w:rPr>
          <w:color w:val="000000" w:themeColor="text1"/>
          <w:u w:val="single" w:color="000000" w:themeColor="text1"/>
          <w:lang w:val="sv-SE"/>
        </w:rPr>
        <w:t>(</w:t>
      </w:r>
      <w:r>
        <w:rPr>
          <w:color w:val="000000" w:themeColor="text1"/>
          <w:u w:val="single" w:color="000000" w:themeColor="text1"/>
          <w:lang w:val="sv-SE"/>
        </w:rPr>
        <w:t>ii)</w:t>
      </w:r>
      <w:r w:rsidRPr="00366386">
        <w:rPr>
          <w:color w:val="000000" w:themeColor="text1"/>
          <w:u w:color="000000" w:themeColor="text1"/>
          <w:lang w:val="sv-SE"/>
        </w:rPr>
        <w:tab/>
      </w:r>
      <w:r w:rsidRPr="00FF41F6">
        <w:rPr>
          <w:color w:val="000000" w:themeColor="text1"/>
          <w:u w:val="single" w:color="000000" w:themeColor="text1"/>
          <w:lang w:val="sv-SE"/>
        </w:rPr>
        <w:t>rely on the wage history of a prospective employee in determining his wages; provided that an employer may rely on wage history when it is voluntarily provided by a prospective employee, after the employer makes an offer of employment with an offer of compensation to the prospective employee, to support a wage higher than the wage offered by the employer; or</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Pr>
          <w:color w:val="000000" w:themeColor="text1"/>
          <w:u w:color="000000" w:themeColor="text1"/>
          <w:lang w:val="sv-SE"/>
        </w:rPr>
        <w:tab/>
      </w:r>
      <w:r w:rsidRPr="00FF41F6">
        <w:rPr>
          <w:color w:val="000000" w:themeColor="text1"/>
          <w:u w:val="single" w:color="000000" w:themeColor="text1"/>
          <w:lang w:val="sv-SE"/>
        </w:rPr>
        <w:t>(</w:t>
      </w:r>
      <w:r>
        <w:rPr>
          <w:color w:val="000000" w:themeColor="text1"/>
          <w:u w:val="single" w:color="000000" w:themeColor="text1"/>
          <w:lang w:val="sv-SE"/>
        </w:rPr>
        <w:t>iii</w:t>
      </w:r>
      <w:r w:rsidRPr="00FF41F6">
        <w:rPr>
          <w:color w:val="000000" w:themeColor="text1"/>
          <w:u w:val="single" w:color="000000" w:themeColor="text1"/>
          <w:lang w:val="sv-SE"/>
        </w:rPr>
        <w:t>)</w:t>
      </w:r>
      <w:r w:rsidRPr="00366386">
        <w:rPr>
          <w:color w:val="000000" w:themeColor="text1"/>
          <w:u w:color="000000" w:themeColor="text1"/>
          <w:lang w:val="sv-SE"/>
        </w:rPr>
        <w:tab/>
      </w:r>
      <w:r w:rsidRPr="00FF41F6">
        <w:rPr>
          <w:color w:val="000000" w:themeColor="text1"/>
          <w:u w:val="single" w:color="000000" w:themeColor="text1"/>
          <w:lang w:val="sv-SE"/>
        </w:rPr>
        <w:t>seek from a prospective employee</w:t>
      </w:r>
      <w:r>
        <w:rPr>
          <w:color w:val="000000" w:themeColor="text1"/>
          <w:u w:val="single" w:color="000000" w:themeColor="text1"/>
          <w:lang w:val="sv-SE"/>
        </w:rPr>
        <w:t>,</w:t>
      </w:r>
      <w:r w:rsidRPr="00FF41F6">
        <w:rPr>
          <w:color w:val="000000" w:themeColor="text1"/>
          <w:u w:val="single" w:color="000000" w:themeColor="text1"/>
          <w:lang w:val="sv-SE"/>
        </w:rPr>
        <w:t xml:space="preserve"> or any current or former employer</w:t>
      </w:r>
      <w:r>
        <w:rPr>
          <w:color w:val="000000" w:themeColor="text1"/>
          <w:u w:val="single" w:color="000000" w:themeColor="text1"/>
          <w:lang w:val="sv-SE"/>
        </w:rPr>
        <w:t>,</w:t>
      </w:r>
      <w:r w:rsidRPr="00FF41F6">
        <w:rPr>
          <w:color w:val="000000" w:themeColor="text1"/>
          <w:u w:val="single" w:color="000000" w:themeColor="text1"/>
          <w:lang w:val="sv-SE"/>
        </w:rPr>
        <w:t xml:space="preserve"> the wage history of the prospective employee; provided, however, that an employer may seek to confirm prior wage information only after an offer of employment with compensation has been made to the prospective employee and the prospective employee responds to the offer by providing prior wage information to support a wage higher than that offered by the employer. </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66386">
        <w:rPr>
          <w:color w:val="000000" w:themeColor="text1"/>
          <w:u w:color="000000" w:themeColor="text1"/>
          <w:lang w:val="sv-SE"/>
        </w:rPr>
        <w:tab/>
      </w:r>
      <w:r>
        <w:rPr>
          <w:color w:val="000000" w:themeColor="text1"/>
          <w:u w:color="000000" w:themeColor="text1"/>
          <w:lang w:val="sv-SE"/>
        </w:rPr>
        <w:tab/>
      </w:r>
      <w:r w:rsidRPr="00366386">
        <w:rPr>
          <w:color w:val="000000" w:themeColor="text1"/>
          <w:u w:color="000000" w:themeColor="text1"/>
          <w:lang w:val="sv-SE"/>
        </w:rPr>
        <w:tab/>
      </w:r>
      <w:r>
        <w:rPr>
          <w:color w:val="000000" w:themeColor="text1"/>
          <w:u w:val="single" w:color="000000" w:themeColor="text1"/>
          <w:lang w:val="sv-SE"/>
        </w:rPr>
        <w:t>(b)</w:t>
      </w:r>
      <w:r w:rsidRPr="00366386">
        <w:rPr>
          <w:color w:val="000000" w:themeColor="text1"/>
          <w:u w:color="000000" w:themeColor="text1"/>
          <w:lang w:val="sv-SE"/>
        </w:rPr>
        <w:tab/>
      </w:r>
      <w:r w:rsidRPr="00FF41F6">
        <w:rPr>
          <w:color w:val="000000" w:themeColor="text1"/>
          <w:u w:val="single" w:color="000000" w:themeColor="text1"/>
          <w:lang w:val="sv-SE"/>
        </w:rPr>
        <w:t xml:space="preserve">For the purposes of this subsection, </w:t>
      </w:r>
      <w:r w:rsidR="00434316" w:rsidRPr="00434316">
        <w:rPr>
          <w:color w:val="000000" w:themeColor="text1"/>
          <w:u w:val="single" w:color="000000" w:themeColor="text1"/>
          <w:lang w:val="sv-SE"/>
        </w:rPr>
        <w:t>‘</w:t>
      </w:r>
      <w:r w:rsidRPr="00FF41F6">
        <w:rPr>
          <w:color w:val="000000" w:themeColor="text1"/>
          <w:u w:val="single" w:color="000000" w:themeColor="text1"/>
          <w:lang w:val="sv-SE"/>
        </w:rPr>
        <w:t>wage history</w:t>
      </w:r>
      <w:r w:rsidR="00434316" w:rsidRPr="00434316">
        <w:rPr>
          <w:color w:val="000000" w:themeColor="text1"/>
          <w:u w:val="single" w:color="000000" w:themeColor="text1"/>
          <w:lang w:val="sv-SE"/>
        </w:rPr>
        <w:t>’</w:t>
      </w:r>
      <w:r w:rsidRPr="00FF41F6">
        <w:rPr>
          <w:color w:val="000000" w:themeColor="text1"/>
          <w:u w:val="single" w:color="000000" w:themeColor="text1"/>
          <w:lang w:val="sv-SE"/>
        </w:rPr>
        <w:t xml:space="preserve"> means the wages, including benefits and other compensation, paid to the prospective employee by the prospective employee</w:t>
      </w:r>
      <w:r w:rsidR="00434316" w:rsidRPr="00434316">
        <w:rPr>
          <w:color w:val="000000" w:themeColor="text1"/>
          <w:u w:val="single" w:color="000000" w:themeColor="text1"/>
          <w:lang w:val="sv-SE"/>
        </w:rPr>
        <w:t>’</w:t>
      </w:r>
      <w:r w:rsidRPr="00FF41F6">
        <w:rPr>
          <w:color w:val="000000" w:themeColor="text1"/>
          <w:u w:val="single" w:color="000000" w:themeColor="text1"/>
          <w:lang w:val="sv-SE"/>
        </w:rPr>
        <w:t>s current employer and/or previous employer or employers.</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6386">
        <w:rPr>
          <w:color w:val="000000" w:themeColor="text1"/>
          <w:u w:color="000000" w:themeColor="text1"/>
        </w:rPr>
        <w:tab/>
      </w:r>
      <w:r>
        <w:rPr>
          <w:color w:val="000000" w:themeColor="text1"/>
          <w:u w:color="000000" w:themeColor="text1"/>
        </w:rPr>
        <w:tab/>
      </w:r>
      <w:r w:rsidRPr="00FF41F6">
        <w:rPr>
          <w:color w:val="000000" w:themeColor="text1"/>
          <w:u w:val="single" w:color="000000" w:themeColor="text1"/>
        </w:rPr>
        <w:t>(</w:t>
      </w:r>
      <w:r>
        <w:rPr>
          <w:color w:val="000000" w:themeColor="text1"/>
          <w:u w:val="single" w:color="000000" w:themeColor="text1"/>
        </w:rPr>
        <w:t>3)</w:t>
      </w:r>
      <w:r w:rsidRPr="00366386">
        <w:rPr>
          <w:color w:val="000000" w:themeColor="text1"/>
          <w:u w:color="000000" w:themeColor="text1"/>
        </w:rPr>
        <w:tab/>
      </w:r>
      <w:r w:rsidRPr="00FF41F6">
        <w:rPr>
          <w:color w:val="000000" w:themeColor="text1"/>
          <w:u w:val="single" w:color="000000" w:themeColor="text1"/>
          <w:lang w:val="sv-SE"/>
        </w:rPr>
        <w:t>An employer shall provide the wage range for a position to a prospective employee upon request.</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41F6">
        <w:tab/>
      </w:r>
      <w:r>
        <w:rPr>
          <w:u w:val="single"/>
        </w:rPr>
        <w:t>(C)</w:t>
      </w:r>
      <w:r w:rsidRPr="00366386">
        <w:tab/>
      </w:r>
      <w:r w:rsidRPr="00FF41F6">
        <w:t>It is an unlawful employment practice for an employment agency to fail or refuse to refer for employment or otherwise to discriminate against an individual because of the individual</w:t>
      </w:r>
      <w:r w:rsidR="00434316" w:rsidRPr="00434316">
        <w:t>’</w:t>
      </w:r>
      <w:r w:rsidRPr="00FF41F6">
        <w:t>s race, color, religion, sex, age, national origin, or disability, or to classify or refer for employment an individual on the basis of the individual</w:t>
      </w:r>
      <w:r w:rsidR="00434316" w:rsidRPr="00434316">
        <w:t>’</w:t>
      </w:r>
      <w:r w:rsidRPr="00FF41F6">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C</w:t>
      </w:r>
      <w:r>
        <w:rPr>
          <w:u w:val="single"/>
        </w:rPr>
        <w:t>D</w:t>
      </w:r>
      <w:r>
        <w:t>)</w:t>
      </w:r>
      <w:r>
        <w:tab/>
      </w:r>
      <w:r w:rsidRPr="00DC60AE">
        <w:t>It is an unlawful employment practice for a labor organization: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to expel from its membership or otherwise to discriminate against an individual because of the individual</w:t>
      </w:r>
      <w:r w:rsidR="00434316" w:rsidRPr="00434316">
        <w:t>’</w:t>
      </w:r>
      <w:r w:rsidRPr="00DC60AE">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434316" w:rsidRPr="00434316">
        <w:t>’</w:t>
      </w:r>
      <w:r w:rsidRPr="00DC60AE">
        <w:t>s status as an employee or as an applicant for employment because of the individual</w:t>
      </w:r>
      <w:r w:rsidR="00434316" w:rsidRPr="00434316">
        <w:t>’</w:t>
      </w:r>
      <w:r w:rsidRPr="00DC60AE">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to cause or attempt to cause an employer to discriminate against an individual in violation of this section.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D</w:t>
      </w:r>
      <w:r>
        <w:rPr>
          <w:u w:val="single"/>
        </w:rPr>
        <w:t>E</w:t>
      </w:r>
      <w:r>
        <w:t>)</w:t>
      </w:r>
      <w:r>
        <w:tab/>
      </w:r>
      <w:r w:rsidRPr="00DC60AE">
        <w:t>It is an unlawful employment practice for a covered entity: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otherwise deny equal jobs or benefits to a qualified individual because of a known disability of an individual with whom the qualified individual is known to have a relationship or association;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(3)</w:t>
      </w:r>
      <w:r>
        <w:tab/>
      </w:r>
      <w:r w:rsidRPr="00DC60AE">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(4)</w:t>
      </w:r>
      <w:r>
        <w:tab/>
      </w:r>
      <w:r w:rsidRPr="00DC60AE">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E</w:t>
      </w:r>
      <w:r>
        <w:rPr>
          <w:u w:val="single"/>
        </w:rPr>
        <w:t>F</w:t>
      </w:r>
      <w:r>
        <w:t>)</w:t>
      </w:r>
      <w:r>
        <w:tab/>
      </w:r>
      <w:r w:rsidRPr="00DC60AE">
        <w:t>It is an unlawful employment practice for an employer, labor organization, or joint labor</w:t>
      </w:r>
      <w:r w:rsidR="00434316">
        <w:noBreakHyphen/>
      </w:r>
      <w:r w:rsidRPr="00DC60AE">
        <w:t>management committee controlling apprenticeship or other training or retraining, including on</w:t>
      </w:r>
      <w:r w:rsidR="00434316">
        <w:noBreakHyphen/>
      </w:r>
      <w:r w:rsidRPr="00DC60AE">
        <w:t>the</w:t>
      </w:r>
      <w:r w:rsidR="00434316">
        <w:noBreakHyphen/>
      </w:r>
      <w:r w:rsidRPr="00DC60AE">
        <w:t>job training programs, to discriminate against an individual because of the individual</w:t>
      </w:r>
      <w:r w:rsidR="00434316" w:rsidRPr="00434316">
        <w:t>’</w:t>
      </w:r>
      <w:r w:rsidRPr="00DC60AE">
        <w:t>s race, color, religion, sex, national origin, or disability in admission to or employment in a program established to provide apprenticeship or other training.</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F</w:t>
      </w:r>
      <w:r>
        <w:rPr>
          <w:u w:val="single"/>
        </w:rPr>
        <w:t>G</w:t>
      </w:r>
      <w:r>
        <w:t>)</w:t>
      </w:r>
      <w:r>
        <w:tab/>
      </w:r>
      <w:r w:rsidRPr="00DC60AE">
        <w:t>It is an unlawful employment practice for an employer to discriminate against an employee or applicant for employment, for an employment agency, or joint labor</w:t>
      </w:r>
      <w:r w:rsidR="00434316">
        <w:noBreakHyphen/>
      </w:r>
      <w:r w:rsidRPr="00DC60AE">
        <w:t>management committee controlling apprenticeship or other training or retraining, including on</w:t>
      </w:r>
      <w:r w:rsidR="00434316">
        <w:noBreakHyphen/>
      </w:r>
      <w:r w:rsidRPr="00DC60AE">
        <w:t>the</w:t>
      </w:r>
      <w:r w:rsidR="00434316">
        <w:noBreakHyphen/>
      </w:r>
      <w:r w:rsidRPr="00DC60AE">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G</w:t>
      </w:r>
      <w:r>
        <w:rPr>
          <w:u w:val="single"/>
        </w:rPr>
        <w:t>H</w:t>
      </w:r>
      <w:r>
        <w:t>)</w:t>
      </w:r>
      <w:r>
        <w:tab/>
      </w:r>
      <w:r w:rsidRPr="00DC60AE">
        <w:t>It is an unlawful employment practice for an employer, labor organization, employment agency, or joint labor</w:t>
      </w:r>
      <w:r w:rsidR="00434316">
        <w:noBreakHyphen/>
      </w:r>
      <w:r w:rsidRPr="00DC60AE">
        <w:t>management committee controlling apprenticeship or other training or retraining, including on</w:t>
      </w:r>
      <w:r w:rsidR="00434316">
        <w:noBreakHyphen/>
      </w:r>
      <w:r w:rsidRPr="00DC60AE">
        <w:t>the</w:t>
      </w:r>
      <w:r w:rsidR="00434316">
        <w:noBreakHyphen/>
      </w:r>
      <w:r w:rsidRPr="00DC60AE">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434316">
        <w:noBreakHyphen/>
      </w:r>
      <w:r w:rsidRPr="00DC60AE">
        <w:t>management committee indicating a preference, limitation, specification, or discrimination based on race, color, religion, sex, national origin, or disability, except that the notice or advertisement may indicate a preference, limitation, specification, or discrimination based on religion, sex, or national origin when religion, sex, or national origin is a bona fide occupational qualification for employment.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H</w:t>
      </w:r>
      <w:r>
        <w:rPr>
          <w:u w:val="single"/>
        </w:rPr>
        <w:t>I</w:t>
      </w:r>
      <w:r>
        <w:t>)</w:t>
      </w:r>
      <w:r>
        <w:tab/>
      </w:r>
      <w:r w:rsidRPr="00DC60AE">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t>(</w:t>
      </w:r>
      <w:r w:rsidRPr="00FF41F6">
        <w:rPr>
          <w:strike/>
        </w:rPr>
        <w:t>I</w:t>
      </w:r>
      <w:r>
        <w:rPr>
          <w:u w:val="single"/>
        </w:rPr>
        <w:t>J</w:t>
      </w:r>
      <w:r w:rsidRPr="00DC60AE">
        <w:t>)</w:t>
      </w:r>
      <w:r>
        <w:tab/>
      </w:r>
      <w:r w:rsidRPr="00DC60AE">
        <w:t>Notwithstanding any other provision of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434316">
        <w:noBreakHyphen/>
      </w:r>
      <w:r w:rsidRPr="00DC60AE">
        <w:t>management committee controlling apprenticeship or other training or retraining programs to admit or employ an individual in a program on the basis of the individual</w:t>
      </w:r>
      <w:r w:rsidR="00434316" w:rsidRPr="00434316">
        <w:t>’</w:t>
      </w:r>
      <w:r w:rsidRPr="00DC60AE">
        <w:t>s religion, sex, or national origin in those certain instances where religion, sex, or national origin is a bona fide occupational qualification reasonably necessary to the normal operation of that particular business or enterprise.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It is not an unlawful employment practice for a party subject to the provisions of this section to compile or assemble information as may be required pursuant to Section 1</w:t>
      </w:r>
      <w:r w:rsidR="00434316">
        <w:noBreakHyphen/>
      </w:r>
      <w:r w:rsidRPr="00DC60AE">
        <w:t>13</w:t>
      </w:r>
      <w:r w:rsidR="00434316">
        <w:noBreakHyphen/>
      </w:r>
      <w:r w:rsidRPr="00DC60AE">
        <w:t>70(i) or Federal Equal Employment Opportunity Commission or federal contract compliance requirements or pursuant to another law not inconsistent with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C60AE">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C60AE">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C60AE">
        <w:t>Nothing contained in this chapter may be interpreted to require an employer, employment agency, labor organization, or joint labor</w:t>
      </w:r>
      <w:r w:rsidR="00434316">
        <w:noBreakHyphen/>
      </w:r>
      <w:r w:rsidRPr="00DC60AE">
        <w:t>management committee subject to this chapter to grant preferential treatment to an individual or to a group because of race, color, religion, sex, national origin, or disability of the individual or group on account of an imbalance which may exist with respect to the total number or percentage of persons of a race, color, religion, sex,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national origin, or disability in a community, state, section, or other area or in the available work force in a community, state, section, or other area.</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C60AE">
        <w:t>It is not unlawful for an employer, employment agency, or labor organization: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DC60AE">
        <w:t>to take an action otherwise prohibited under this chapter where age is a bona fide occupational qualification reasonably necessary to the normal operation of the particular business or where the differentiation is based on reasonable factors other than age;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r>
      <w:r w:rsidRPr="00DC60AE">
        <w:tab/>
        <w:t>(ii)</w:t>
      </w:r>
      <w:r>
        <w:tab/>
      </w:r>
      <w:r w:rsidRPr="00DC60AE">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Notwithstanding the provisions of subitem (ii),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C60AE">
        <w:t>Nothing in this chapter may be construed to prohibit compulsory retirement of an employee who has attained sixty</w:t>
      </w:r>
      <w:r w:rsidR="00434316">
        <w:noBreakHyphen/>
      </w:r>
      <w:r w:rsidRPr="00DC60AE">
        <w:t>five years of age and who, for the two</w:t>
      </w:r>
      <w:r w:rsidR="00434316">
        <w:noBreakHyphen/>
      </w:r>
      <w:r w:rsidRPr="00DC60AE">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434316">
        <w:noBreakHyphen/>
      </w:r>
      <w:r w:rsidRPr="00DC60AE">
        <w:t>four thousand dollars.</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C60AE">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C60AE">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DC60AE">
        <w:t>It is an unlawful employment practice for a person to forcibly resist, prevent, impede, or interfere with the commission or any of its members or representatives in the lawful performance of duty under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DC60AE">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434316" w:rsidRPr="00434316">
        <w:t>’</w:t>
      </w:r>
      <w:r w:rsidRPr="00DC60AE">
        <w:t>s age if the action is taken: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DC60AE">
        <w:t>with respect to the employment of an individual as a firefighter or as a law enforcement officer and the individual has attained the age of hiring or retirement in effect under applicable law on March 3, 1983;</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C60AE">
        <w:t>pursuant to a bona fide hiring or retirement plan that is not a subterfuge to evade the purposes of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This item is effective until December 31, 1993.</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434316" w:rsidRPr="00434316">
        <w:t>‘</w:t>
      </w:r>
      <w:r w:rsidRPr="00DC60AE">
        <w:t>firefighter</w:t>
      </w:r>
      <w:r w:rsidR="00434316" w:rsidRPr="00434316">
        <w:t>’</w:t>
      </w:r>
      <w:r w:rsidRPr="00DC60A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434316" w:rsidRPr="00434316">
        <w:t>‘</w:t>
      </w:r>
      <w:r w:rsidRPr="00DC60AE">
        <w:t>law enforcement officer</w:t>
      </w:r>
      <w:r w:rsidR="00434316" w:rsidRPr="00434316">
        <w:t>’</w:t>
      </w:r>
      <w:r w:rsidRPr="00DC60A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w:t>
      </w:r>
      <w:r w:rsidR="00434316" w:rsidRPr="00434316">
        <w:t>‘</w:t>
      </w:r>
      <w:r w:rsidRPr="00DC60AE">
        <w:t>detention</w:t>
      </w:r>
      <w:r w:rsidR="00434316" w:rsidRPr="00434316">
        <w:t>’</w:t>
      </w:r>
      <w:r w:rsidRPr="00DC60AE">
        <w:t xml:space="preserve"> includes the duties of employees assigned to guard individuals incarcerated in a penal institution.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Nothing contained in items (8), (10), and (12) may override Sections 9</w:t>
      </w:r>
      <w:r w:rsidR="00434316">
        <w:noBreakHyphen/>
      </w:r>
      <w:r w:rsidRPr="00DC60AE">
        <w:t>1</w:t>
      </w:r>
      <w:r w:rsidR="00434316">
        <w:noBreakHyphen/>
      </w:r>
      <w:r w:rsidRPr="00DC60AE">
        <w:t>1530 and 9</w:t>
      </w:r>
      <w:r w:rsidR="00434316">
        <w:noBreakHyphen/>
      </w:r>
      <w:r w:rsidRPr="00DC60AE">
        <w:t>1</w:t>
      </w:r>
      <w:r w:rsidR="00434316">
        <w:noBreakHyphen/>
      </w:r>
      <w:r w:rsidRPr="00DC60AE">
        <w:t>1537.</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0AE">
        <w:tab/>
        <w:t>(13)</w:t>
      </w:r>
      <w:r>
        <w:tab/>
      </w:r>
      <w:r w:rsidRPr="00DC60AE">
        <w:t>It is not an unlawful employment practice for a private employer to give preference in employment to a veteran. This preference is also extended to the veteran</w:t>
      </w:r>
      <w:r w:rsidR="00434316" w:rsidRPr="00434316">
        <w:t>’</w:t>
      </w:r>
      <w:r w:rsidRPr="00DC60AE">
        <w:t>s spouse if the veteran has a service</w:t>
      </w:r>
      <w:r w:rsidR="00434316">
        <w:noBreakHyphen/>
      </w:r>
      <w:r w:rsidRPr="00DC60AE">
        <w:t xml:space="preserve">connected permanent and total disability. A private employer who gives a preference in employment provided by this item does not violate any other provision of this chapter by virtue of giving the preference. For purposes of this item, </w:t>
      </w:r>
      <w:r w:rsidR="00434316" w:rsidRPr="00434316">
        <w:t>‘</w:t>
      </w:r>
      <w:r w:rsidRPr="00DC60AE">
        <w:t>veteran</w:t>
      </w:r>
      <w:r w:rsidR="00434316" w:rsidRPr="00434316">
        <w:t>’</w:t>
      </w:r>
      <w:r w:rsidRPr="00DC60AE">
        <w:t xml:space="preserve"> has the same meaning as provided in Section 25</w:t>
      </w:r>
      <w:r w:rsidR="00434316">
        <w:noBreakHyphen/>
      </w:r>
      <w:r w:rsidRPr="00DC60AE">
        <w:t>11</w:t>
      </w:r>
      <w:r w:rsidR="00434316">
        <w:noBreakHyphen/>
      </w:r>
      <w:r w:rsidRPr="00DC60AE">
        <w:t>40.</w:t>
      </w:r>
      <w:r>
        <w: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336F" w:rsidRDefault="00434316" w:rsidP="00D2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9C2" w:rsidRDefault="00E139C2" w:rsidP="00E139C2">
      <w:pPr>
        <w:suppressAutoHyphens/>
      </w:pPr>
    </w:p>
    <w:sectPr w:rsidR="00E139C2" w:rsidSect="00E139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F4C" w:rsidRDefault="005B4F4C" w:rsidP="009F0C77">
      <w:r>
        <w:separator/>
      </w:r>
    </w:p>
  </w:endnote>
  <w:endnote w:type="continuationSeparator" w:id="0">
    <w:p w:rsidR="005B4F4C" w:rsidRDefault="005B4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819CB3-7099-4CCA-A093-F310A61425F5}"/>
    <w:embedBold r:id="rId2" w:fontKey="{DA2CF211-06FA-4040-AD15-7FB30C612F44}"/>
  </w:font>
  <w:font w:name="Calibri">
    <w:panose1 w:val="020F0502020204030204"/>
    <w:charset w:val="00"/>
    <w:family w:val="swiss"/>
    <w:pitch w:val="variable"/>
    <w:sig w:usb0="E00002FF" w:usb1="4000ACFF" w:usb2="00000001" w:usb3="00000000" w:csb0="0000019F" w:csb1="00000000"/>
    <w:embedRegular r:id="rId3" w:fontKey="{B2F62CEA-0A02-483A-9DD1-17305F749F23}"/>
  </w:font>
  <w:font w:name="Cambria">
    <w:panose1 w:val="02040503050406030204"/>
    <w:charset w:val="00"/>
    <w:family w:val="roman"/>
    <w:pitch w:val="variable"/>
    <w:sig w:usb0="E00002FF" w:usb1="400004FF" w:usb2="00000000" w:usb3="00000000" w:csb0="0000019F" w:csb1="00000000"/>
    <w:embedRegular r:id="rId4" w:fontKey="{A1DA7E9E-5D31-4233-9E04-12C995922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9C2" w:rsidRPr="00E0780E" w:rsidRDefault="00E139C2" w:rsidP="00E0780E">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sidR="00944E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F4C" w:rsidRDefault="005B4F4C" w:rsidP="009F0C77">
      <w:r>
        <w:separator/>
      </w:r>
    </w:p>
  </w:footnote>
  <w:footnote w:type="continuationSeparator" w:id="0">
    <w:p w:rsidR="005B4F4C" w:rsidRDefault="005B4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5WAB19"/>
    <w:docVar w:name="CoverBillType" w:val="b"/>
    <w:docVar w:name="DocPath" w:val="L:\Council\bills\AGM\19525WAB19.DOCX"/>
    <w:docVar w:name="dvBillNumber" w:val="3589"/>
    <w:docVar w:name="dvBillNumberPrefix" w:val="H. "/>
    <w:docVar w:name="dvOriginalBody" w:val="House"/>
    <w:docVar w:name="dvSteno" w:val="AGM"/>
    <w:docVar w:name="NameofBody" w:val="h"/>
    <w:docVar w:name="vGroup2" w:val="Council"/>
  </w:docVars>
  <w:rsids>
    <w:rsidRoot w:val="005B4F4C"/>
    <w:rsid w:val="00011869"/>
    <w:rsid w:val="00015CD6"/>
    <w:rsid w:val="000E0100"/>
    <w:rsid w:val="000E1785"/>
    <w:rsid w:val="000F40FA"/>
    <w:rsid w:val="001035F1"/>
    <w:rsid w:val="0010776B"/>
    <w:rsid w:val="00133E66"/>
    <w:rsid w:val="001435A3"/>
    <w:rsid w:val="00146ED3"/>
    <w:rsid w:val="00151044"/>
    <w:rsid w:val="001627F7"/>
    <w:rsid w:val="001B336F"/>
    <w:rsid w:val="001D08F2"/>
    <w:rsid w:val="001D3A58"/>
    <w:rsid w:val="001D525B"/>
    <w:rsid w:val="001D7F4F"/>
    <w:rsid w:val="00205238"/>
    <w:rsid w:val="002321B6"/>
    <w:rsid w:val="00250967"/>
    <w:rsid w:val="002543C8"/>
    <w:rsid w:val="0025541D"/>
    <w:rsid w:val="00267903"/>
    <w:rsid w:val="00284AAE"/>
    <w:rsid w:val="002E5912"/>
    <w:rsid w:val="00301B21"/>
    <w:rsid w:val="003058A8"/>
    <w:rsid w:val="00325348"/>
    <w:rsid w:val="0032732C"/>
    <w:rsid w:val="00336AD0"/>
    <w:rsid w:val="003516FE"/>
    <w:rsid w:val="0037079A"/>
    <w:rsid w:val="003C4DAB"/>
    <w:rsid w:val="003D01E8"/>
    <w:rsid w:val="003E5288"/>
    <w:rsid w:val="003F6D79"/>
    <w:rsid w:val="0041760A"/>
    <w:rsid w:val="00417C01"/>
    <w:rsid w:val="00434316"/>
    <w:rsid w:val="004403BD"/>
    <w:rsid w:val="00461441"/>
    <w:rsid w:val="004809EE"/>
    <w:rsid w:val="004E7D54"/>
    <w:rsid w:val="005273C6"/>
    <w:rsid w:val="00530A69"/>
    <w:rsid w:val="00545593"/>
    <w:rsid w:val="00556EBF"/>
    <w:rsid w:val="0057317D"/>
    <w:rsid w:val="00577C6C"/>
    <w:rsid w:val="005A62FE"/>
    <w:rsid w:val="005B4F4C"/>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4E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6BF"/>
    <w:rsid w:val="00B412D4"/>
    <w:rsid w:val="00BE3C22"/>
    <w:rsid w:val="00C0345E"/>
    <w:rsid w:val="00C31C95"/>
    <w:rsid w:val="00C3483A"/>
    <w:rsid w:val="00C74E9D"/>
    <w:rsid w:val="00C826DD"/>
    <w:rsid w:val="00C82FD3"/>
    <w:rsid w:val="00C92819"/>
    <w:rsid w:val="00CC6B7B"/>
    <w:rsid w:val="00CD2089"/>
    <w:rsid w:val="00D27E72"/>
    <w:rsid w:val="00D73A67"/>
    <w:rsid w:val="00D970A9"/>
    <w:rsid w:val="00DF3845"/>
    <w:rsid w:val="00E0780E"/>
    <w:rsid w:val="00E139C2"/>
    <w:rsid w:val="00E41911"/>
    <w:rsid w:val="00E44B57"/>
    <w:rsid w:val="00E92EEF"/>
    <w:rsid w:val="00EA40B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12CCD-C7C6-4308-8BAB-DBD42FA7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57317D"/>
  </w:style>
  <w:style w:type="paragraph" w:styleId="ListParagraph">
    <w:name w:val="List Paragraph"/>
    <w:basedOn w:val="Normal"/>
    <w:uiPriority w:val="34"/>
    <w:qFormat/>
    <w:rsid w:val="0057317D"/>
    <w:pPr>
      <w:ind w:left="720"/>
      <w:contextualSpacing/>
    </w:pPr>
  </w:style>
  <w:style w:type="character" w:styleId="Hyperlink">
    <w:name w:val="Hyperlink"/>
    <w:basedOn w:val="DefaultParagraphFont"/>
    <w:uiPriority w:val="99"/>
    <w:unhideWhenUsed/>
    <w:rsid w:val="00E139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89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DD273-8D38-4E79-83F9-EF113F22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3386</Words>
  <Characters>18999</Characters>
  <Application>Microsoft Office Word</Application>
  <DocSecurity>0</DocSecurity>
  <Lines>633</Lines>
  <Paragraphs>254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3589: Unlawful employment practices - South Carolina Legislature Online</dc:title>
  <dc:creator>Angie Morgan</dc:creator>
  <cp:lastModifiedBy>S Volk</cp:lastModifiedBy>
  <cp:revision>2</cp:revision>
  <dcterms:created xsi:type="dcterms:W3CDTF">2019-01-29T18:40:00Z</dcterms:created>
  <dcterms:modified xsi:type="dcterms:W3CDTF">2019-01-29T18:40:00Z</dcterms:modified>
</cp:coreProperties>
</file>