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3BB4">
        <w:rPr>
          <w:rFonts w:eastAsia="Times New Roman" w:cs="Times New Roman"/>
          <w:b/>
          <w:szCs w:val="20"/>
        </w:rPr>
        <w:t>South Carolina General Assembly</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3BB4">
        <w:rPr>
          <w:rFonts w:eastAsia="Times New Roman" w:cs="Times New Roman"/>
          <w:szCs w:val="20"/>
        </w:rPr>
        <w:t>123rd Session, 2019-2020</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B4" w:rsidRPr="00403BB4" w:rsidRDefault="0058010C"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A173, R174, H3596</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B4">
        <w:rPr>
          <w:rFonts w:eastAsia="Times New Roman" w:cs="Times New Roman"/>
          <w:b/>
          <w:szCs w:val="20"/>
        </w:rPr>
        <w:t>STATUS INFORMATION</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B4">
        <w:rPr>
          <w:rFonts w:eastAsia="Times New Roman" w:cs="Times New Roman"/>
          <w:szCs w:val="20"/>
        </w:rPr>
        <w:t>General Bill</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B4">
        <w:rPr>
          <w:rFonts w:eastAsia="Times New Roman" w:cs="Times New Roman"/>
          <w:szCs w:val="20"/>
        </w:rPr>
        <w:t>Sponsors: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03BB4">
        <w:rPr>
          <w:rFonts w:eastAsia="Times New Roman" w:cs="Times New Roman"/>
          <w:szCs w:val="20"/>
        </w:rPr>
        <w:noBreakHyphen/>
        <w:t>Myers</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B4">
        <w:rPr>
          <w:rFonts w:eastAsia="Times New Roman" w:cs="Times New Roman"/>
          <w:szCs w:val="20"/>
        </w:rPr>
        <w:t>Document Path: l:\council\bills\nbd\11176dg19.docx</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6856" w:rsidRDefault="00966856"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2019</w:t>
      </w:r>
    </w:p>
    <w:p w:rsidR="00966856" w:rsidRDefault="00966856"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966856" w:rsidRDefault="00966856"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966856" w:rsidRDefault="00966856"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Senate</w:t>
      </w:r>
    </w:p>
    <w:p w:rsidR="00966856" w:rsidRDefault="00966856"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966856" w:rsidRDefault="00966856"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B4">
        <w:rPr>
          <w:rFonts w:eastAsia="Times New Roman" w:cs="Times New Roman"/>
          <w:szCs w:val="20"/>
        </w:rPr>
        <w:t>Summary: Ad valorem taxes</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B4" w:rsidRPr="00403BB4" w:rsidRDefault="00403BB4" w:rsidP="00403BB4">
      <w:pPr>
        <w:widowControl w:val="0"/>
        <w:tabs>
          <w:tab w:val="center" w:pos="590"/>
          <w:tab w:val="center" w:pos="1440"/>
          <w:tab w:val="left" w:pos="1872"/>
          <w:tab w:val="left" w:pos="9187"/>
        </w:tabs>
        <w:rPr>
          <w:rFonts w:eastAsia="Times New Roman" w:cs="Times New Roman"/>
          <w:szCs w:val="20"/>
        </w:rPr>
      </w:pPr>
      <w:r w:rsidRPr="00403BB4">
        <w:rPr>
          <w:rFonts w:eastAsia="Times New Roman" w:cs="Times New Roman"/>
          <w:b/>
          <w:szCs w:val="20"/>
        </w:rPr>
        <w:t>HISTORY OF LEGISLATIVE ACTIONS</w:t>
      </w:r>
    </w:p>
    <w:p w:rsidR="00403BB4" w:rsidRPr="00403BB4" w:rsidRDefault="00403BB4" w:rsidP="00403BB4">
      <w:pPr>
        <w:widowControl w:val="0"/>
        <w:tabs>
          <w:tab w:val="center" w:pos="590"/>
          <w:tab w:val="center" w:pos="1440"/>
          <w:tab w:val="left" w:pos="1872"/>
          <w:tab w:val="left" w:pos="9187"/>
        </w:tabs>
        <w:rPr>
          <w:rFonts w:eastAsia="Times New Roman" w:cs="Times New Roman"/>
          <w:szCs w:val="20"/>
        </w:rPr>
      </w:pPr>
    </w:p>
    <w:p w:rsidR="00403BB4" w:rsidRPr="00403BB4" w:rsidRDefault="00403BB4" w:rsidP="00403BB4">
      <w:pPr>
        <w:widowControl w:val="0"/>
        <w:tabs>
          <w:tab w:val="center" w:pos="590"/>
          <w:tab w:val="center" w:pos="1440"/>
          <w:tab w:val="left" w:pos="1872"/>
          <w:tab w:val="left" w:pos="9187"/>
        </w:tabs>
        <w:rPr>
          <w:rFonts w:eastAsia="Times New Roman" w:cs="Times New Roman"/>
          <w:szCs w:val="20"/>
        </w:rPr>
      </w:pPr>
      <w:r w:rsidRPr="00403BB4">
        <w:rPr>
          <w:rFonts w:eastAsia="Times New Roman" w:cs="Times New Roman"/>
          <w:szCs w:val="20"/>
          <w:u w:val="single"/>
        </w:rPr>
        <w:tab/>
        <w:t>Date</w:t>
      </w:r>
      <w:r w:rsidRPr="00403BB4">
        <w:rPr>
          <w:rFonts w:eastAsia="Times New Roman" w:cs="Times New Roman"/>
          <w:szCs w:val="20"/>
          <w:u w:val="single"/>
        </w:rPr>
        <w:tab/>
        <w:t>Body</w:t>
      </w:r>
      <w:r w:rsidRPr="00403BB4">
        <w:rPr>
          <w:rFonts w:eastAsia="Times New Roman" w:cs="Times New Roman"/>
          <w:szCs w:val="20"/>
          <w:u w:val="single"/>
        </w:rPr>
        <w:tab/>
        <w:t>Action Description with journal page number</w:t>
      </w:r>
      <w:r w:rsidRPr="00403BB4">
        <w:rPr>
          <w:rFonts w:eastAsia="Times New Roman" w:cs="Times New Roman"/>
          <w:szCs w:val="20"/>
          <w:u w:val="single"/>
        </w:rPr>
        <w:tab/>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t>Introduced and read first time (</w:t>
      </w:r>
      <w:hyperlink r:id="rId7" w:history="1">
        <w:r w:rsidRPr="00E2435C">
          <w:rPr>
            <w:rStyle w:val="Hyperlink"/>
            <w:rFonts w:cs="Times New Roman"/>
          </w:rPr>
          <w:t>House Journal</w:t>
        </w:r>
        <w:r w:rsidRPr="00E2435C">
          <w:rPr>
            <w:rStyle w:val="Hyperlink"/>
            <w:rFonts w:cs="Times New Roman"/>
          </w:rPr>
          <w:noBreakHyphen/>
          <w:t>page 79</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t xml:space="preserve">Referred to Committee on </w:t>
      </w:r>
      <w:r w:rsidRPr="00E2435C">
        <w:rPr>
          <w:rFonts w:cs="Times New Roman"/>
          <w:b/>
        </w:rPr>
        <w:t>Ways and Means</w:t>
      </w:r>
      <w:r>
        <w:rPr>
          <w:rFonts w:cs="Times New Roman"/>
        </w:rPr>
        <w:t xml:space="preserve"> (</w:t>
      </w:r>
      <w:hyperlink r:id="rId8" w:history="1">
        <w:r w:rsidRPr="00E2435C">
          <w:rPr>
            <w:rStyle w:val="Hyperlink"/>
            <w:rFonts w:cs="Times New Roman"/>
          </w:rPr>
          <w:t>House Journal</w:t>
        </w:r>
        <w:r w:rsidRPr="00E2435C">
          <w:rPr>
            <w:rStyle w:val="Hyperlink"/>
            <w:rFonts w:cs="Times New Roman"/>
          </w:rPr>
          <w:noBreakHyphen/>
          <w:t>page 79</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Member(s) request name added as sponsor: Johnson, V.S.Moss, Stringer, Willis, Bailey, Elliott, B.Cox, Magnuson, Clary, Hixon, Martin, Davis, Mace, Kimmons, Bennett, Bradley, Jordan, Finlay, Gagnon, McDaniel</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3/11/2019</w:t>
      </w:r>
      <w:r>
        <w:rPr>
          <w:rFonts w:cs="Times New Roman"/>
        </w:rPr>
        <w:tab/>
        <w:t>House</w:t>
      </w:r>
      <w:r>
        <w:rPr>
          <w:rFonts w:cs="Times New Roman"/>
        </w:rPr>
        <w:tab/>
        <w:t>Member(s) request name added as sponsor: Daning, Allison, Collins, McCoy, Atkinson, Hayes, Kirby, Wooten, Ballentine, Caskey, McCravy, Gilliam, Hill, Chellis, Crawford, Taylor, Young</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Member(s) request name added as sponsor: Weeks, Yow, Whitmire, Hosey, Clyburn</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E2435C">
        <w:rPr>
          <w:rFonts w:cs="Times New Roman"/>
          <w:b/>
        </w:rPr>
        <w:t>Ways and Means</w:t>
      </w:r>
      <w:r>
        <w:rPr>
          <w:rFonts w:cs="Times New Roman"/>
        </w:rPr>
        <w:t xml:space="preserve"> (</w:t>
      </w:r>
      <w:hyperlink r:id="rId9" w:history="1">
        <w:r w:rsidRPr="00E2435C">
          <w:rPr>
            <w:rStyle w:val="Hyperlink"/>
            <w:rFonts w:cs="Times New Roman"/>
          </w:rPr>
          <w:t>House Journal</w:t>
        </w:r>
        <w:r w:rsidRPr="00E2435C">
          <w:rPr>
            <w:rStyle w:val="Hyperlink"/>
            <w:rFonts w:cs="Times New Roman"/>
          </w:rPr>
          <w:noBreakHyphen/>
          <w:t>page 37</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Debate adjourned until  Tues., 4</w:t>
      </w:r>
      <w:r>
        <w:rPr>
          <w:rFonts w:cs="Times New Roman"/>
        </w:rPr>
        <w:noBreakHyphen/>
        <w:t>9</w:t>
      </w:r>
      <w:r>
        <w:rPr>
          <w:rFonts w:cs="Times New Roman"/>
        </w:rPr>
        <w:noBreakHyphen/>
        <w:t>19 (</w:t>
      </w:r>
      <w:hyperlink r:id="rId10" w:history="1">
        <w:r w:rsidRPr="00E2435C">
          <w:rPr>
            <w:rStyle w:val="Hyperlink"/>
            <w:rFonts w:cs="Times New Roman"/>
          </w:rPr>
          <w:t>House Journal</w:t>
        </w:r>
        <w:r w:rsidRPr="00E2435C">
          <w:rPr>
            <w:rStyle w:val="Hyperlink"/>
            <w:rFonts w:cs="Times New Roman"/>
          </w:rPr>
          <w:noBreakHyphen/>
          <w:t>page 74</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Member(s) request name added as sponsor: Brown, Govan, Moore, Henderson</w:t>
      </w:r>
      <w:r>
        <w:rPr>
          <w:rFonts w:cs="Times New Roman"/>
        </w:rPr>
        <w:noBreakHyphen/>
        <w:t>Myers</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Requests for debate</w:t>
      </w:r>
      <w:r>
        <w:rPr>
          <w:rFonts w:cs="Times New Roman"/>
        </w:rPr>
        <w:noBreakHyphen/>
        <w:t>Rep(s).  Stavrinakis, Norrell, Mack, Ott, Hart, Kirby, Ballentine, R. Williams, Jefferson, Lowe, Wheeler, King, S. Williams, Brawley, Cobb</w:t>
      </w:r>
      <w:r>
        <w:rPr>
          <w:rFonts w:cs="Times New Roman"/>
        </w:rPr>
        <w:noBreakHyphen/>
        <w:t>Hunter, Taylor, Hosey, Clary, Hixon (</w:t>
      </w:r>
      <w:hyperlink r:id="rId11" w:history="1">
        <w:r w:rsidRPr="00E2435C">
          <w:rPr>
            <w:rStyle w:val="Hyperlink"/>
            <w:rFonts w:cs="Times New Roman"/>
          </w:rPr>
          <w:t>House Journal</w:t>
        </w:r>
        <w:r w:rsidRPr="00E2435C">
          <w:rPr>
            <w:rStyle w:val="Hyperlink"/>
            <w:rFonts w:cs="Times New Roman"/>
          </w:rPr>
          <w:noBreakHyphen/>
          <w:t>page 28</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Requests for debate removed</w:t>
      </w:r>
      <w:r>
        <w:rPr>
          <w:rFonts w:cs="Times New Roman"/>
        </w:rPr>
        <w:noBreakHyphen/>
        <w:t>Rep(s).  Ott, Clary, Stavrinakis, Ballentine, Kirby, Taylor, Hixon, King, Cobb</w:t>
      </w:r>
      <w:r>
        <w:rPr>
          <w:rFonts w:cs="Times New Roman"/>
        </w:rPr>
        <w:noBreakHyphen/>
        <w:t>Hunter, Brawley, R. Williams, Norrell (</w:t>
      </w:r>
      <w:hyperlink r:id="rId12" w:history="1">
        <w:r w:rsidRPr="00E2435C">
          <w:rPr>
            <w:rStyle w:val="Hyperlink"/>
            <w:rFonts w:cs="Times New Roman"/>
          </w:rPr>
          <w:t>House Journal</w:t>
        </w:r>
        <w:r w:rsidRPr="00E2435C">
          <w:rPr>
            <w:rStyle w:val="Hyperlink"/>
            <w:rFonts w:cs="Times New Roman"/>
          </w:rPr>
          <w:noBreakHyphen/>
          <w:t>page 143</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Requests for debate removed</w:t>
      </w:r>
      <w:r>
        <w:rPr>
          <w:rFonts w:cs="Times New Roman"/>
        </w:rPr>
        <w:noBreakHyphen/>
        <w:t>Rep(s).  Hosey, Wheeler, Lowe, Jefferson, Mack (</w:t>
      </w:r>
      <w:hyperlink r:id="rId13" w:history="1">
        <w:r w:rsidRPr="00E2435C">
          <w:rPr>
            <w:rStyle w:val="Hyperlink"/>
            <w:rFonts w:cs="Times New Roman"/>
          </w:rPr>
          <w:t>House Journal</w:t>
        </w:r>
        <w:r w:rsidRPr="00E2435C">
          <w:rPr>
            <w:rStyle w:val="Hyperlink"/>
            <w:rFonts w:cs="Times New Roman"/>
          </w:rPr>
          <w:noBreakHyphen/>
          <w:t>page 160</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Amended (</w:t>
      </w:r>
      <w:hyperlink r:id="rId14" w:history="1">
        <w:r w:rsidRPr="00E2435C">
          <w:rPr>
            <w:rStyle w:val="Hyperlink"/>
            <w:rFonts w:cs="Times New Roman"/>
          </w:rPr>
          <w:t>House Journal</w:t>
        </w:r>
        <w:r w:rsidRPr="00E2435C">
          <w:rPr>
            <w:rStyle w:val="Hyperlink"/>
            <w:rFonts w:cs="Times New Roman"/>
          </w:rPr>
          <w:noBreakHyphen/>
          <w:t>page 173</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5" w:history="1">
        <w:r w:rsidRPr="00E2435C">
          <w:rPr>
            <w:rStyle w:val="Hyperlink"/>
            <w:rFonts w:cs="Times New Roman"/>
          </w:rPr>
          <w:t>House Journal</w:t>
        </w:r>
        <w:r w:rsidRPr="00E2435C">
          <w:rPr>
            <w:rStyle w:val="Hyperlink"/>
            <w:rFonts w:cs="Times New Roman"/>
          </w:rPr>
          <w:noBreakHyphen/>
          <w:t>page 173</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91  Nays</w:t>
      </w:r>
      <w:r>
        <w:rPr>
          <w:rFonts w:cs="Times New Roman"/>
        </w:rPr>
        <w:noBreakHyphen/>
        <w:t>0 (</w:t>
      </w:r>
      <w:hyperlink r:id="rId16" w:history="1">
        <w:r w:rsidRPr="00E2435C">
          <w:rPr>
            <w:rStyle w:val="Hyperlink"/>
            <w:rFonts w:cs="Times New Roman"/>
          </w:rPr>
          <w:t>House Journal</w:t>
        </w:r>
        <w:r w:rsidRPr="00E2435C">
          <w:rPr>
            <w:rStyle w:val="Hyperlink"/>
            <w:rFonts w:cs="Times New Roman"/>
          </w:rPr>
          <w:noBreakHyphen/>
          <w:t>page 176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7" w:history="1">
        <w:r w:rsidRPr="00E2435C">
          <w:rPr>
            <w:rStyle w:val="Hyperlink"/>
            <w:rFonts w:cs="Times New Roman"/>
          </w:rPr>
          <w:t>House Journal</w:t>
        </w:r>
        <w:r w:rsidRPr="00E2435C">
          <w:rPr>
            <w:rStyle w:val="Hyperlink"/>
            <w:rFonts w:cs="Times New Roman"/>
          </w:rPr>
          <w:noBreakHyphen/>
          <w:t>page 16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lastRenderedPageBreak/>
        <w:tab/>
        <w:t>4/10/2019</w:t>
      </w:r>
      <w:r>
        <w:rPr>
          <w:rFonts w:cs="Times New Roman"/>
        </w:rPr>
        <w:tab/>
        <w:t>Senate</w:t>
      </w:r>
      <w:r>
        <w:rPr>
          <w:rFonts w:cs="Times New Roman"/>
        </w:rPr>
        <w:tab/>
        <w:t>Introduced and read first time (</w:t>
      </w:r>
      <w:hyperlink r:id="rId18" w:history="1">
        <w:r w:rsidRPr="00E2435C">
          <w:rPr>
            <w:rStyle w:val="Hyperlink"/>
            <w:rFonts w:cs="Times New Roman"/>
          </w:rPr>
          <w:t>Senate Journal</w:t>
        </w:r>
        <w:r w:rsidRPr="00E2435C">
          <w:rPr>
            <w:rStyle w:val="Hyperlink"/>
            <w:rFonts w:cs="Times New Roman"/>
          </w:rPr>
          <w:noBreakHyphen/>
          <w:t>page 16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E2435C">
        <w:rPr>
          <w:rFonts w:cs="Times New Roman"/>
          <w:b/>
        </w:rPr>
        <w:t>Finance</w:t>
      </w:r>
      <w:r>
        <w:rPr>
          <w:rFonts w:cs="Times New Roman"/>
        </w:rPr>
        <w:t xml:space="preserve"> (</w:t>
      </w:r>
      <w:hyperlink r:id="rId19" w:history="1">
        <w:r w:rsidRPr="00E2435C">
          <w:rPr>
            <w:rStyle w:val="Hyperlink"/>
            <w:rFonts w:cs="Times New Roman"/>
          </w:rPr>
          <w:t>Senate Journal</w:t>
        </w:r>
        <w:r w:rsidRPr="00E2435C">
          <w:rPr>
            <w:rStyle w:val="Hyperlink"/>
            <w:rFonts w:cs="Times New Roman"/>
          </w:rPr>
          <w:noBreakHyphen/>
          <w:t>page 16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Committee report: Favorable with amendment </w:t>
      </w:r>
      <w:r w:rsidRPr="00E2435C">
        <w:rPr>
          <w:rFonts w:cs="Times New Roman"/>
          <w:b/>
        </w:rPr>
        <w:t>Finance</w:t>
      </w:r>
      <w:r>
        <w:rPr>
          <w:rFonts w:cs="Times New Roman"/>
        </w:rPr>
        <w:t xml:space="preserve"> (</w:t>
      </w:r>
      <w:hyperlink r:id="rId20" w:history="1">
        <w:r w:rsidRPr="00E2435C">
          <w:rPr>
            <w:rStyle w:val="Hyperlink"/>
            <w:rFonts w:cs="Times New Roman"/>
          </w:rPr>
          <w:t>Senate Journal</w:t>
        </w:r>
        <w:r w:rsidRPr="00E2435C">
          <w:rPr>
            <w:rStyle w:val="Hyperlink"/>
            <w:rFonts w:cs="Times New Roman"/>
          </w:rPr>
          <w:noBreakHyphen/>
          <w:t>page 15</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r>
      <w:r>
        <w:rPr>
          <w:rFonts w:cs="Times New Roman"/>
        </w:rPr>
        <w:tab/>
        <w:t>Scrivener's error corrected</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Committee Amendment Adopted (</w:t>
      </w:r>
      <w:hyperlink r:id="rId21" w:history="1">
        <w:r w:rsidRPr="00E2435C">
          <w:rPr>
            <w:rStyle w:val="Hyperlink"/>
            <w:rFonts w:cs="Times New Roman"/>
          </w:rPr>
          <w:t>Senate Journal</w:t>
        </w:r>
        <w:r w:rsidRPr="00E2435C">
          <w:rPr>
            <w:rStyle w:val="Hyperlink"/>
            <w:rFonts w:cs="Times New Roman"/>
          </w:rPr>
          <w:noBreakHyphen/>
          <w:t>page 33</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Amended (</w:t>
      </w:r>
      <w:hyperlink r:id="rId22" w:history="1">
        <w:r w:rsidRPr="00E2435C">
          <w:rPr>
            <w:rStyle w:val="Hyperlink"/>
            <w:rFonts w:cs="Times New Roman"/>
          </w:rPr>
          <w:t>Senate Journal</w:t>
        </w:r>
        <w:r w:rsidRPr="00E2435C">
          <w:rPr>
            <w:rStyle w:val="Hyperlink"/>
            <w:rFonts w:cs="Times New Roman"/>
          </w:rPr>
          <w:noBreakHyphen/>
          <w:t>page 33</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r>
      <w:r>
        <w:rPr>
          <w:rFonts w:cs="Times New Roman"/>
        </w:rPr>
        <w:tab/>
        <w:t>Scrivener's error corrected</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Amendment Reconsidered (</w:t>
      </w:r>
      <w:hyperlink r:id="rId23" w:history="1">
        <w:r w:rsidRPr="00E2435C">
          <w:rPr>
            <w:rStyle w:val="Hyperlink"/>
            <w:rFonts w:cs="Times New Roman"/>
          </w:rPr>
          <w:t>Senate Journal</w:t>
        </w:r>
        <w:r w:rsidRPr="00E2435C">
          <w:rPr>
            <w:rStyle w:val="Hyperlink"/>
            <w:rFonts w:cs="Times New Roman"/>
          </w:rPr>
          <w:noBreakHyphen/>
          <w:t>page 20</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Amended (</w:t>
      </w:r>
      <w:hyperlink r:id="rId24" w:history="1">
        <w:r w:rsidRPr="00E2435C">
          <w:rPr>
            <w:rStyle w:val="Hyperlink"/>
            <w:rFonts w:cs="Times New Roman"/>
          </w:rPr>
          <w:t>Senate Journal</w:t>
        </w:r>
        <w:r w:rsidRPr="00E2435C">
          <w:rPr>
            <w:rStyle w:val="Hyperlink"/>
            <w:rFonts w:cs="Times New Roman"/>
          </w:rPr>
          <w:noBreakHyphen/>
          <w:t>page 18</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second time (</w:t>
      </w:r>
      <w:hyperlink r:id="rId25" w:history="1">
        <w:r w:rsidRPr="00E2435C">
          <w:rPr>
            <w:rStyle w:val="Hyperlink"/>
            <w:rFonts w:cs="Times New Roman"/>
          </w:rPr>
          <w:t>Senate Journal</w:t>
        </w:r>
        <w:r w:rsidRPr="00E2435C">
          <w:rPr>
            <w:rStyle w:val="Hyperlink"/>
            <w:rFonts w:cs="Times New Roman"/>
          </w:rPr>
          <w:noBreakHyphen/>
          <w:t>page 18</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Roll call Ayes</w:t>
      </w:r>
      <w:r>
        <w:rPr>
          <w:rFonts w:cs="Times New Roman"/>
        </w:rPr>
        <w:noBreakHyphen/>
        <w:t>40  Nays</w:t>
      </w:r>
      <w:r>
        <w:rPr>
          <w:rFonts w:cs="Times New Roman"/>
        </w:rPr>
        <w:noBreakHyphen/>
        <w:t>1 (</w:t>
      </w:r>
      <w:hyperlink r:id="rId26" w:history="1">
        <w:r w:rsidRPr="00E2435C">
          <w:rPr>
            <w:rStyle w:val="Hyperlink"/>
            <w:rFonts w:cs="Times New Roman"/>
          </w:rPr>
          <w:t>Senate Journal</w:t>
        </w:r>
        <w:r w:rsidRPr="00E2435C">
          <w:rPr>
            <w:rStyle w:val="Hyperlink"/>
            <w:rFonts w:cs="Times New Roman"/>
          </w:rPr>
          <w:noBreakHyphen/>
          <w:t>page 18</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Unanimous consent for third reading on next legislative day (</w:t>
      </w:r>
      <w:hyperlink r:id="rId27" w:history="1">
        <w:r w:rsidRPr="00E2435C">
          <w:rPr>
            <w:rStyle w:val="Hyperlink"/>
            <w:rFonts w:cs="Times New Roman"/>
          </w:rPr>
          <w:t>Senate Journal</w:t>
        </w:r>
        <w:r w:rsidRPr="00E2435C">
          <w:rPr>
            <w:rStyle w:val="Hyperlink"/>
            <w:rFonts w:cs="Times New Roman"/>
          </w:rPr>
          <w:noBreakHyphen/>
          <w:t>page 18</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9/17/2020</w:t>
      </w:r>
      <w:r>
        <w:rPr>
          <w:rFonts w:cs="Times New Roman"/>
        </w:rPr>
        <w:tab/>
        <w:t>Senate</w:t>
      </w:r>
      <w:r>
        <w:rPr>
          <w:rFonts w:cs="Times New Roman"/>
        </w:rPr>
        <w:tab/>
        <w:t>Read third time and returned to House with amendments (</w:t>
      </w:r>
      <w:hyperlink r:id="rId28" w:history="1">
        <w:r w:rsidRPr="00E2435C">
          <w:rPr>
            <w:rStyle w:val="Hyperlink"/>
            <w:rFonts w:cs="Times New Roman"/>
          </w:rPr>
          <w:t>Senate Journal</w:t>
        </w:r>
        <w:r w:rsidRPr="00E2435C">
          <w:rPr>
            <w:rStyle w:val="Hyperlink"/>
            <w:rFonts w:cs="Times New Roman"/>
          </w:rPr>
          <w:noBreakHyphen/>
          <w:t>page 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Senate amendment amended (</w:t>
      </w:r>
      <w:hyperlink r:id="rId29" w:history="1">
        <w:r w:rsidRPr="00E2435C">
          <w:rPr>
            <w:rStyle w:val="Hyperlink"/>
            <w:rFonts w:cs="Times New Roman"/>
          </w:rPr>
          <w:t>House Journal</w:t>
        </w:r>
        <w:r w:rsidRPr="00E2435C">
          <w:rPr>
            <w:rStyle w:val="Hyperlink"/>
            <w:rFonts w:cs="Times New Roman"/>
          </w:rPr>
          <w:noBreakHyphen/>
          <w:t>page 76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30" w:history="1">
        <w:r w:rsidRPr="00E2435C">
          <w:rPr>
            <w:rStyle w:val="Hyperlink"/>
            <w:rFonts w:cs="Times New Roman"/>
          </w:rPr>
          <w:t>House Journal</w:t>
        </w:r>
        <w:r w:rsidRPr="00E2435C">
          <w:rPr>
            <w:rStyle w:val="Hyperlink"/>
            <w:rFonts w:cs="Times New Roman"/>
          </w:rPr>
          <w:noBreakHyphen/>
          <w:t>page 76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Returned to Senate with amendments (</w:t>
      </w:r>
      <w:hyperlink r:id="rId31" w:history="1">
        <w:r w:rsidRPr="00E2435C">
          <w:rPr>
            <w:rStyle w:val="Hyperlink"/>
            <w:rFonts w:cs="Times New Roman"/>
          </w:rPr>
          <w:t>House Journal</w:t>
        </w:r>
        <w:r w:rsidRPr="00E2435C">
          <w:rPr>
            <w:rStyle w:val="Hyperlink"/>
            <w:rFonts w:cs="Times New Roman"/>
          </w:rPr>
          <w:noBreakHyphen/>
          <w:t>page 76</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Non</w:t>
      </w:r>
      <w:r>
        <w:rPr>
          <w:rFonts w:cs="Times New Roman"/>
        </w:rPr>
        <w:noBreakHyphen/>
        <w:t>concurrence in House amendment (</w:t>
      </w:r>
      <w:hyperlink r:id="rId32" w:history="1">
        <w:r w:rsidRPr="00E2435C">
          <w:rPr>
            <w:rStyle w:val="Hyperlink"/>
            <w:rFonts w:cs="Times New Roman"/>
          </w:rPr>
          <w:t>Senate Journal</w:t>
        </w:r>
        <w:r w:rsidRPr="00E2435C">
          <w:rPr>
            <w:rStyle w:val="Hyperlink"/>
            <w:rFonts w:cs="Times New Roman"/>
          </w:rPr>
          <w:noBreakHyphen/>
          <w:t>page 135</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0  Nays</w:t>
      </w:r>
      <w:r>
        <w:rPr>
          <w:rFonts w:cs="Times New Roman"/>
        </w:rPr>
        <w:noBreakHyphen/>
        <w:t>39 (</w:t>
      </w:r>
      <w:hyperlink r:id="rId33" w:history="1">
        <w:r w:rsidRPr="00E2435C">
          <w:rPr>
            <w:rStyle w:val="Hyperlink"/>
            <w:rFonts w:cs="Times New Roman"/>
          </w:rPr>
          <w:t>Senate Journal</w:t>
        </w:r>
        <w:r w:rsidRPr="00E2435C">
          <w:rPr>
            <w:rStyle w:val="Hyperlink"/>
            <w:rFonts w:cs="Times New Roman"/>
          </w:rPr>
          <w:noBreakHyphen/>
          <w:t>page 135</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House recedes from amendment(s) (</w:t>
      </w:r>
      <w:hyperlink r:id="rId34" w:history="1">
        <w:r w:rsidRPr="00E2435C">
          <w:rPr>
            <w:rStyle w:val="Hyperlink"/>
            <w:rFonts w:cs="Times New Roman"/>
          </w:rPr>
          <w:t>House Journal</w:t>
        </w:r>
        <w:r w:rsidRPr="00E2435C">
          <w:rPr>
            <w:rStyle w:val="Hyperlink"/>
            <w:rFonts w:cs="Times New Roman"/>
          </w:rPr>
          <w:noBreakHyphen/>
          <w:t>page 121</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Ordered enrolled for ratification (</w:t>
      </w:r>
      <w:hyperlink r:id="rId35" w:history="1">
        <w:r w:rsidRPr="00E2435C">
          <w:rPr>
            <w:rStyle w:val="Hyperlink"/>
            <w:rFonts w:cs="Times New Roman"/>
          </w:rPr>
          <w:t>Senate Journal</w:t>
        </w:r>
        <w:r w:rsidRPr="00E2435C">
          <w:rPr>
            <w:rStyle w:val="Hyperlink"/>
            <w:rFonts w:cs="Times New Roman"/>
          </w:rPr>
          <w:noBreakHyphen/>
          <w:t>page 137</w:t>
        </w:r>
      </w:hyperlink>
      <w:r>
        <w:rPr>
          <w:rFonts w:cs="Times New Roman"/>
        </w:rPr>
        <w:t>)</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174</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01/01/21</w:t>
      </w:r>
    </w:p>
    <w:p w:rsidR="0058010C" w:rsidRDefault="0058010C" w:rsidP="0058010C">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173</w:t>
      </w:r>
    </w:p>
    <w:p w:rsidR="0058010C" w:rsidRDefault="0058010C" w:rsidP="0058010C">
      <w:pPr>
        <w:widowControl w:val="0"/>
        <w:tabs>
          <w:tab w:val="right" w:pos="1008"/>
          <w:tab w:val="left" w:pos="1152"/>
          <w:tab w:val="left" w:pos="1872"/>
          <w:tab w:val="left" w:pos="9187"/>
        </w:tabs>
        <w:ind w:left="2088" w:hanging="2088"/>
        <w:rPr>
          <w:rFonts w:cs="Times New Roman"/>
        </w:rPr>
      </w:pPr>
    </w:p>
    <w:p w:rsidR="00403BB4" w:rsidRPr="00403BB4" w:rsidRDefault="00403BB4" w:rsidP="00403BB4">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403BB4">
        <w:rPr>
          <w:rFonts w:eastAsia="Times New Roman" w:cs="Times New Roman"/>
          <w:szCs w:val="20"/>
        </w:rPr>
        <w:t xml:space="preserve">View the latest </w:t>
      </w:r>
      <w:hyperlink r:id="rId36" w:history="1">
        <w:r w:rsidRPr="00403BB4">
          <w:rPr>
            <w:rFonts w:eastAsia="Times New Roman" w:cs="Times New Roman"/>
            <w:color w:val="0000FF" w:themeColor="hyperlink"/>
            <w:szCs w:val="20"/>
            <w:u w:val="single"/>
          </w:rPr>
          <w:t>legislative information</w:t>
        </w:r>
      </w:hyperlink>
      <w:r w:rsidRPr="00403BB4">
        <w:rPr>
          <w:rFonts w:eastAsia="Times New Roman" w:cs="Times New Roman"/>
          <w:szCs w:val="20"/>
        </w:rPr>
        <w:t xml:space="preserve"> at the website</w:t>
      </w:r>
    </w:p>
    <w:p w:rsidR="00403BB4" w:rsidRPr="00403BB4" w:rsidRDefault="00403BB4" w:rsidP="00403BB4">
      <w:pPr>
        <w:widowControl w:val="0"/>
        <w:tabs>
          <w:tab w:val="right" w:pos="1008"/>
          <w:tab w:val="left" w:pos="1152"/>
          <w:tab w:val="left" w:pos="1872"/>
          <w:tab w:val="left" w:pos="9187"/>
        </w:tabs>
        <w:ind w:left="2088" w:hanging="2088"/>
        <w:rPr>
          <w:rFonts w:eastAsia="Times New Roman" w:cs="Times New Roman"/>
          <w:szCs w:val="20"/>
        </w:rPr>
      </w:pPr>
    </w:p>
    <w:p w:rsidR="00403BB4" w:rsidRPr="00403BB4" w:rsidRDefault="00403BB4" w:rsidP="00403BB4">
      <w:pPr>
        <w:widowControl w:val="0"/>
        <w:tabs>
          <w:tab w:val="right" w:pos="1008"/>
          <w:tab w:val="left" w:pos="1152"/>
          <w:tab w:val="left" w:pos="1872"/>
          <w:tab w:val="left" w:pos="9187"/>
        </w:tabs>
        <w:ind w:left="2088" w:hanging="2088"/>
        <w:rPr>
          <w:rFonts w:eastAsia="Times New Roman" w:cs="Times New Roman"/>
          <w:szCs w:val="20"/>
        </w:rPr>
      </w:pP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3BB4">
        <w:rPr>
          <w:rFonts w:eastAsia="Times New Roman" w:cs="Times New Roman"/>
          <w:b/>
          <w:szCs w:val="20"/>
        </w:rPr>
        <w:t>VERSIONS OF THIS BILL</w:t>
      </w:r>
    </w:p>
    <w:p w:rsidR="00403BB4" w:rsidRPr="00403BB4" w:rsidRDefault="00403BB4"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BB4" w:rsidRPr="00403BB4" w:rsidRDefault="00EB6C09" w:rsidP="00403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403BB4" w:rsidRPr="00403BB4">
          <w:rPr>
            <w:rFonts w:eastAsia="Times New Roman" w:cs="Times New Roman"/>
            <w:color w:val="0000FF" w:themeColor="hyperlink"/>
            <w:szCs w:val="20"/>
            <w:u w:val="single"/>
          </w:rPr>
          <w:t>1/15/2019</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403BB4" w:rsidRPr="00403BB4">
          <w:rPr>
            <w:rFonts w:eastAsia="Times New Roman" w:cs="Times New Roman"/>
            <w:color w:val="0000FF" w:themeColor="hyperlink"/>
            <w:szCs w:val="20"/>
            <w:u w:val="single"/>
          </w:rPr>
          <w:t>3/27/2019</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403BB4" w:rsidRPr="00403BB4">
          <w:rPr>
            <w:rFonts w:eastAsia="Times New Roman" w:cs="Times New Roman"/>
            <w:color w:val="0000FF" w:themeColor="hyperlink"/>
            <w:szCs w:val="20"/>
            <w:u w:val="single"/>
          </w:rPr>
          <w:t>4/9/2019</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403BB4" w:rsidRPr="00403BB4">
          <w:rPr>
            <w:rFonts w:eastAsia="Times New Roman" w:cs="Times New Roman"/>
            <w:color w:val="0000FF" w:themeColor="hyperlink"/>
            <w:szCs w:val="20"/>
            <w:u w:val="single"/>
          </w:rPr>
          <w:t>1/23/2020</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403BB4" w:rsidRPr="00403BB4">
          <w:rPr>
            <w:rFonts w:eastAsia="Times New Roman" w:cs="Times New Roman"/>
            <w:color w:val="0000FF" w:themeColor="hyperlink"/>
            <w:szCs w:val="20"/>
            <w:u w:val="single"/>
          </w:rPr>
          <w:t>1/28/2020</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403BB4" w:rsidRPr="00403BB4">
          <w:rPr>
            <w:rFonts w:eastAsia="Times New Roman" w:cs="Times New Roman"/>
            <w:color w:val="0000FF" w:themeColor="hyperlink"/>
            <w:szCs w:val="20"/>
            <w:u w:val="single"/>
          </w:rPr>
          <w:t>3/10/2020</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403BB4" w:rsidRPr="00403BB4">
          <w:rPr>
            <w:rFonts w:eastAsia="Times New Roman" w:cs="Times New Roman"/>
            <w:color w:val="0000FF" w:themeColor="hyperlink"/>
            <w:szCs w:val="20"/>
            <w:u w:val="single"/>
          </w:rPr>
          <w:t>3/11/2020</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403BB4" w:rsidRPr="00403BB4">
          <w:rPr>
            <w:rFonts w:eastAsia="Times New Roman" w:cs="Times New Roman"/>
            <w:color w:val="0000FF" w:themeColor="hyperlink"/>
            <w:szCs w:val="20"/>
            <w:u w:val="single"/>
          </w:rPr>
          <w:t>3/11/2020-A</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403BB4" w:rsidRPr="00403BB4">
          <w:rPr>
            <w:rFonts w:eastAsia="Times New Roman" w:cs="Times New Roman"/>
            <w:color w:val="0000FF" w:themeColor="hyperlink"/>
            <w:szCs w:val="20"/>
            <w:u w:val="single"/>
          </w:rPr>
          <w:t>9/16/2020</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403BB4" w:rsidRPr="00403BB4">
          <w:rPr>
            <w:rFonts w:eastAsia="Times New Roman" w:cs="Times New Roman"/>
            <w:color w:val="0000FF" w:themeColor="hyperlink"/>
            <w:szCs w:val="20"/>
            <w:u w:val="single"/>
          </w:rPr>
          <w:t>9/23/2020</w:t>
        </w:r>
      </w:hyperlink>
    </w:p>
    <w:p w:rsidR="00403BB4" w:rsidRPr="00403BB4" w:rsidRDefault="00EB6C09"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403BB4" w:rsidRPr="00403BB4">
          <w:rPr>
            <w:rFonts w:eastAsia="Times New Roman" w:cs="Times New Roman"/>
            <w:color w:val="0000FF" w:themeColor="hyperlink"/>
            <w:szCs w:val="20"/>
            <w:u w:val="single"/>
          </w:rPr>
          <w:t>9/23/2020-A</w:t>
        </w:r>
      </w:hyperlink>
    </w:p>
    <w:p w:rsidR="00403BB4" w:rsidRPr="00403BB4" w:rsidRDefault="00403BB4"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3BB4" w:rsidRDefault="00403BB4" w:rsidP="00403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3BB4" w:rsidSect="00403BB4">
          <w:pgSz w:w="12240" w:h="15840" w:code="1"/>
          <w:pgMar w:top="1080" w:right="1440" w:bottom="1080" w:left="1440" w:header="720" w:footer="720" w:gutter="0"/>
          <w:pgNumType w:start="1"/>
          <w:cols w:space="720"/>
          <w:noEndnote/>
          <w:docGrid w:linePitch="360"/>
        </w:sectPr>
      </w:pPr>
    </w:p>
    <w:p w:rsidR="0040322B" w:rsidRP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Pr>
          <w:b/>
          <w:color w:val="000000" w:themeColor="text1"/>
        </w:rPr>
        <w:lastRenderedPageBreak/>
        <w:t>NOTE:  THIS IS A TEMPORARY VERSION. THIS DOCUMENT WILL REMAIN IN THIS VERSION UNTIL FINAL APPROVAL BY THE LEGISLATIVE COUNCIL.</w:t>
      </w:r>
    </w:p>
    <w:p w:rsid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(A173, R174, H3596)</w:t>
      </w:r>
    </w:p>
    <w:p w:rsidR="0040322B" w:rsidRPr="008836A5"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322B" w:rsidRPr="00403BB4"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3BB4">
        <w:rPr>
          <w:rFonts w:cs="Times New Roman"/>
          <w:b/>
          <w:color w:val="000000" w:themeColor="text1"/>
          <w:szCs w:val="36"/>
        </w:rPr>
        <w:t xml:space="preserve">AN ACT </w:t>
      </w:r>
      <w:r w:rsidRPr="00403BB4">
        <w:rPr>
          <w:rFonts w:cs="Times New Roman"/>
          <w:b/>
        </w:rPr>
        <w:t>TO AMEND SECTION 12</w:t>
      </w:r>
      <w:r w:rsidRPr="00403BB4">
        <w:rPr>
          <w:rFonts w:cs="Times New Roman"/>
          <w:b/>
        </w:rPr>
        <w:noBreakHyphen/>
        <w:t>43</w:t>
      </w:r>
      <w:r w:rsidRPr="00403BB4">
        <w:rPr>
          <w:rFonts w:cs="Times New Roman"/>
          <w:b/>
        </w:rPr>
        <w:noBreakHyphen/>
        <w:t xml:space="preserve">220, CODE OF LAWS OF SOUTH CAROLINA, 1976, RELATING TO CLASSIFICATION OF PROPERTY AND ASSESSMENT RATIOS FOR PURPOSES OF AD VALOREM TAXATION, SO AS TO LIMIT ROLLBACK TAXES TO THREE YEARS WHEN LAND CLASSIFIED AS AGRICULTURAL REAL PROPERTY IS APPLIED TO ANOTHER USE. </w:t>
      </w:r>
      <w:bookmarkStart w:id="1" w:name="titleend"/>
      <w:bookmarkEnd w:id="1"/>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959">
        <w:rPr>
          <w:rFonts w:cs="Times New Roman"/>
        </w:rPr>
        <w:t>Be it enacted by the General Assembly of the State of South Carolina:</w:t>
      </w:r>
    </w:p>
    <w:p w:rsid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322B" w:rsidRPr="0015714D"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Reduction of rollback tax years</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959">
        <w:rPr>
          <w:rFonts w:cs="Times New Roman"/>
        </w:rPr>
        <w:t>SECTION</w:t>
      </w:r>
      <w:r w:rsidRPr="00202959">
        <w:rPr>
          <w:rFonts w:cs="Times New Roman"/>
        </w:rPr>
        <w:tab/>
        <w:t>1.</w:t>
      </w:r>
      <w:r w:rsidRPr="00202959">
        <w:rPr>
          <w:rFonts w:cs="Times New Roman"/>
        </w:rPr>
        <w:tab/>
        <w:t>Section 12</w:t>
      </w:r>
      <w:r w:rsidRPr="00202959">
        <w:rPr>
          <w:rFonts w:cs="Times New Roman"/>
        </w:rPr>
        <w:noBreakHyphen/>
        <w:t>43</w:t>
      </w:r>
      <w:r w:rsidRPr="00202959">
        <w:rPr>
          <w:rFonts w:cs="Times New Roman"/>
        </w:rPr>
        <w:noBreakHyphen/>
        <w:t>220(d)(4) of the 1976 Code is amended to read:</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2959">
        <w:rPr>
          <w:rFonts w:cs="Times New Roman"/>
        </w:rPr>
        <w:tab/>
      </w:r>
      <w:r w:rsidRPr="00202959">
        <w:rPr>
          <w:rFonts w:cs="Times New Roman"/>
        </w:rPr>
        <w:tab/>
        <w:t>“</w:t>
      </w:r>
      <w:r w:rsidRPr="00202959">
        <w:rPr>
          <w:rFonts w:cs="Times New Roman"/>
          <w:u w:color="000000" w:themeColor="text1"/>
        </w:rPr>
        <w:t>(4)</w:t>
      </w:r>
      <w:r w:rsidRPr="00202959">
        <w:rPr>
          <w:rFonts w:cs="Times New Roman"/>
          <w:u w:color="000000" w:themeColor="text1"/>
        </w:rPr>
        <w:tab/>
        <w:t>Except as provided pursuant to Section 12</w:t>
      </w:r>
      <w:r w:rsidRPr="00202959">
        <w:rPr>
          <w:rFonts w:cs="Times New Roman"/>
          <w:u w:color="000000" w:themeColor="text1"/>
        </w:rPr>
        <w:noBreakHyphen/>
        <w:t>43</w:t>
      </w:r>
      <w:r w:rsidRPr="00202959">
        <w:rPr>
          <w:rFonts w:cs="Times New Roman"/>
          <w:u w:color="000000" w:themeColor="text1"/>
        </w:rPr>
        <w:noBreakHyphen/>
        <w:t>222, when real property which is in agricultural use and is being valued, assessed, and taxed under the provisions of this article, is applied to a use other than agricultural</w:t>
      </w:r>
      <w:r w:rsidRPr="00202959">
        <w:rPr>
          <w:rFonts w:cs="Times New Roman"/>
        </w:rPr>
        <w:t>,</w:t>
      </w:r>
      <w:r w:rsidRPr="00202959">
        <w:rPr>
          <w:rFonts w:cs="Times New Roman"/>
          <w:u w:color="000000" w:themeColor="text1"/>
        </w:rPr>
        <w:t xml:space="preserve"> </w:t>
      </w:r>
      <w:r w:rsidRPr="00202959">
        <w:rPr>
          <w:rFonts w:cs="Times New Roman"/>
        </w:rPr>
        <w:t>as evidenced by actions taken by the owner of the real property which is inconsistent with agricultural use</w:t>
      </w:r>
      <w:r w:rsidRPr="00202959">
        <w:rPr>
          <w:rFonts w:cs="Times New Roman"/>
          <w:u w:color="000000" w:themeColor="text1"/>
        </w:rPr>
        <w:t xml:space="preserve">, it is subject to additional taxes, referred to as rollback taxes, in an amount equal to 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each of the </w:t>
      </w:r>
      <w:r w:rsidRPr="00202959">
        <w:rPr>
          <w:rFonts w:cs="Times New Roman"/>
        </w:rPr>
        <w:t>three</w:t>
      </w:r>
      <w:r w:rsidRPr="00202959">
        <w:rPr>
          <w:rFonts w:cs="Times New Roman"/>
          <w:u w:color="000000" w:themeColor="text1"/>
        </w:rPr>
        <w:t xml:space="preserve"> tax years</w:t>
      </w:r>
      <w:r w:rsidRPr="00202959">
        <w:rPr>
          <w:rFonts w:cs="Times New Roman"/>
        </w:rPr>
        <w:t xml:space="preserve"> i</w:t>
      </w:r>
      <w:r w:rsidRPr="00202959">
        <w:rPr>
          <w:rFonts w:cs="Times New Roman"/>
          <w:u w:color="000000" w:themeColor="text1"/>
        </w:rPr>
        <w:t xml:space="preserve">mmediately preceding in which the real property was valued, assessed, and taxed as provided in this item. If in the tax year in which a change in use of the real property occurs the real property was not valued, assessed, and taxed under this article, then the real property is subject to rollback taxes for each of the </w:t>
      </w:r>
      <w:r w:rsidRPr="00202959">
        <w:rPr>
          <w:rFonts w:cs="Times New Roman"/>
        </w:rPr>
        <w:t>three</w:t>
      </w:r>
      <w:r w:rsidRPr="00202959">
        <w:rPr>
          <w:rFonts w:cs="Times New Roman"/>
          <w:u w:color="000000" w:themeColor="text1"/>
        </w:rPr>
        <w:t xml:space="preserv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2959">
        <w:rPr>
          <w:rFonts w:cs="Times New Roman"/>
          <w:u w:color="000000" w:themeColor="text1"/>
        </w:rPr>
        <w:lastRenderedPageBreak/>
        <w:tab/>
      </w:r>
      <w:r w:rsidRPr="00202959">
        <w:rPr>
          <w:rFonts w:cs="Times New Roman"/>
          <w:u w:color="000000" w:themeColor="text1"/>
        </w:rPr>
        <w:tab/>
      </w:r>
      <w:r w:rsidRPr="00202959">
        <w:rPr>
          <w:rFonts w:cs="Times New Roman"/>
          <w:u w:color="000000" w:themeColor="text1"/>
        </w:rPr>
        <w:tab/>
        <w:t>(A)</w:t>
      </w:r>
      <w:r w:rsidRPr="00202959">
        <w:rPr>
          <w:rFonts w:cs="Times New Roman"/>
          <w:u w:color="000000" w:themeColor="text1"/>
        </w:rPr>
        <w:tab/>
        <w:t>the fair market value without consideration of the standing timber of such real property under the valuation standard applicable to other real property in the same classification;</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2959">
        <w:rPr>
          <w:rFonts w:cs="Times New Roman"/>
          <w:u w:color="000000" w:themeColor="text1"/>
        </w:rPr>
        <w:tab/>
      </w:r>
      <w:r w:rsidRPr="00202959">
        <w:rPr>
          <w:rFonts w:cs="Times New Roman"/>
          <w:u w:color="000000" w:themeColor="text1"/>
        </w:rPr>
        <w:tab/>
      </w:r>
      <w:r w:rsidRPr="00202959">
        <w:rPr>
          <w:rFonts w:cs="Times New Roman"/>
          <w:u w:color="000000" w:themeColor="text1"/>
        </w:rPr>
        <w:tab/>
        <w:t>(B)</w:t>
      </w:r>
      <w:r w:rsidRPr="00202959">
        <w:rPr>
          <w:rFonts w:cs="Times New Roman"/>
          <w:u w:color="000000" w:themeColor="text1"/>
        </w:rPr>
        <w:tab/>
        <w:t>the amount of the real property assessment for the particular tax year by multiplying such fair market value by the appropriate assessment ratio provided in this article;</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2959">
        <w:rPr>
          <w:rFonts w:cs="Times New Roman"/>
          <w:u w:color="000000" w:themeColor="text1"/>
        </w:rPr>
        <w:tab/>
      </w:r>
      <w:r w:rsidRPr="00202959">
        <w:rPr>
          <w:rFonts w:cs="Times New Roman"/>
          <w:u w:color="000000" w:themeColor="text1"/>
        </w:rPr>
        <w:tab/>
      </w:r>
      <w:r w:rsidRPr="00202959">
        <w:rPr>
          <w:rFonts w:cs="Times New Roman"/>
          <w:u w:color="000000" w:themeColor="text1"/>
        </w:rPr>
        <w:tab/>
        <w:t>(C)</w:t>
      </w:r>
      <w:r w:rsidRPr="00202959">
        <w:rPr>
          <w:rFonts w:cs="Times New Roman"/>
          <w:u w:color="000000" w:themeColor="text1"/>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959">
        <w:rPr>
          <w:rFonts w:cs="Times New Roman"/>
          <w:u w:color="000000" w:themeColor="text1"/>
        </w:rPr>
        <w:tab/>
      </w:r>
      <w:r w:rsidRPr="00202959">
        <w:rPr>
          <w:rFonts w:cs="Times New Roman"/>
          <w:u w:color="000000" w:themeColor="text1"/>
        </w:rPr>
        <w:tab/>
      </w:r>
      <w:r w:rsidRPr="00202959">
        <w:rPr>
          <w:rFonts w:cs="Times New Roman"/>
          <w:u w:color="000000" w:themeColor="text1"/>
        </w:rPr>
        <w:tab/>
        <w:t>(D)</w:t>
      </w:r>
      <w:r w:rsidRPr="00202959">
        <w:rPr>
          <w:rFonts w:cs="Times New Roman"/>
          <w:u w:color="000000" w:themeColor="text1"/>
        </w:rPr>
        <w:tab/>
        <w:t>the amount of the rollback for that tax year by multiplying the amount of the additional assessment determined under (C) of this section by the property tax rate of the taxing district applicable for that tax year.”</w:t>
      </w:r>
    </w:p>
    <w:p w:rsid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322B" w:rsidRPr="0015714D"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5714D">
        <w:rPr>
          <w:rFonts w:cs="Times New Roman"/>
          <w:b/>
        </w:rPr>
        <w:t>Time effective</w:t>
      </w: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322B" w:rsidRPr="00202959"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959">
        <w:rPr>
          <w:rFonts w:cs="Times New Roman"/>
        </w:rPr>
        <w:t>SECTION 2. This act takes effect January 1, 2021, and applies for agricultural real property changed to another use after 2020.</w:t>
      </w:r>
    </w:p>
    <w:p w:rsid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0322B" w:rsidRDefault="0040322B"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40322B" w:rsidRDefault="0040322B" w:rsidP="0040322B">
      <w:pPr>
        <w:jc w:val="both"/>
        <w:rPr>
          <w:color w:val="000000" w:themeColor="text1"/>
        </w:rPr>
      </w:pPr>
    </w:p>
    <w:p w:rsidR="0040322B" w:rsidRDefault="0040322B" w:rsidP="0040322B">
      <w:pPr>
        <w:jc w:val="both"/>
        <w:rPr>
          <w:color w:val="000000" w:themeColor="text1"/>
        </w:rPr>
      </w:pPr>
      <w:r>
        <w:rPr>
          <w:color w:val="000000" w:themeColor="text1"/>
        </w:rPr>
        <w:t>Approved the 29</w:t>
      </w:r>
      <w:r w:rsidRPr="00F71D21">
        <w:rPr>
          <w:color w:val="000000" w:themeColor="text1"/>
          <w:vertAlign w:val="superscript"/>
        </w:rPr>
        <w:t>th</w:t>
      </w:r>
      <w:r>
        <w:rPr>
          <w:color w:val="000000" w:themeColor="text1"/>
        </w:rPr>
        <w:t xml:space="preserve"> day of September, 2020. </w:t>
      </w:r>
    </w:p>
    <w:p w:rsidR="0040322B" w:rsidRDefault="0040322B" w:rsidP="0040322B">
      <w:pPr>
        <w:jc w:val="center"/>
        <w:rPr>
          <w:color w:val="000000" w:themeColor="text1"/>
        </w:rPr>
      </w:pPr>
    </w:p>
    <w:p w:rsidR="0040322B" w:rsidRDefault="0040322B" w:rsidP="0040322B">
      <w:pPr>
        <w:jc w:val="center"/>
        <w:rPr>
          <w:color w:val="000000" w:themeColor="text1"/>
        </w:rPr>
      </w:pPr>
      <w:r>
        <w:rPr>
          <w:color w:val="000000" w:themeColor="text1"/>
        </w:rPr>
        <w:t>__________</w:t>
      </w:r>
    </w:p>
    <w:p w:rsidR="00403BB4" w:rsidRPr="00AC65DB" w:rsidRDefault="00403BB4" w:rsidP="00403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3BB4" w:rsidRPr="00AC65DB" w:rsidSect="00403BB4">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61E" w:rsidRDefault="00B3261E" w:rsidP="007D5FAC">
      <w:r>
        <w:separator/>
      </w:r>
    </w:p>
  </w:endnote>
  <w:endnote w:type="continuationSeparator" w:id="0">
    <w:p w:rsidR="00B3261E" w:rsidRDefault="00B3261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BB4" w:rsidRPr="00403BB4" w:rsidRDefault="00403BB4" w:rsidP="00403BB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0322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BB4" w:rsidRDefault="00403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61E" w:rsidRDefault="00B3261E" w:rsidP="007D5FAC">
      <w:r>
        <w:separator/>
      </w:r>
    </w:p>
  </w:footnote>
  <w:footnote w:type="continuationSeparator" w:id="0">
    <w:p w:rsidR="00B3261E" w:rsidRDefault="00B3261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596"/>
    <w:docVar w:name="ActSecretary" w:val="Downey"/>
    <w:docVar w:name="ActSIdno" w:val="(192)  3596DG20"/>
    <w:docVar w:name="clipname" w:val="3596DG20"/>
    <w:docVar w:name="dvBillNumber" w:val="3596"/>
    <w:docVar w:name="dvBillNumberPrefix" w:val="H"/>
    <w:docVar w:name="dvOriginalBody" w:val="House"/>
    <w:docVar w:name="HOUSEACTFULLPATH" w:val="L:\COUNCIL\ACTS\3596DG20.DOCX"/>
    <w:docVar w:name="OrigHOUSEBillNo" w:val="3596"/>
    <w:docVar w:name="WhatActtype" w:val="AN ACT"/>
  </w:docVars>
  <w:rsids>
    <w:rsidRoot w:val="00B3261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4601"/>
    <w:rsid w:val="00106968"/>
    <w:rsid w:val="00114917"/>
    <w:rsid w:val="001237B9"/>
    <w:rsid w:val="00131CE5"/>
    <w:rsid w:val="00135DDF"/>
    <w:rsid w:val="00136AA0"/>
    <w:rsid w:val="00141278"/>
    <w:rsid w:val="0014525A"/>
    <w:rsid w:val="0015714D"/>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EBF"/>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6FE2"/>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322B"/>
    <w:rsid w:val="00403BB4"/>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37D3"/>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35F"/>
    <w:rsid w:val="0054323B"/>
    <w:rsid w:val="00555859"/>
    <w:rsid w:val="00556774"/>
    <w:rsid w:val="00560EBF"/>
    <w:rsid w:val="005627E7"/>
    <w:rsid w:val="00562952"/>
    <w:rsid w:val="005672F0"/>
    <w:rsid w:val="00573BBA"/>
    <w:rsid w:val="005741F9"/>
    <w:rsid w:val="0058010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648"/>
    <w:rsid w:val="007E3A81"/>
    <w:rsid w:val="007F6631"/>
    <w:rsid w:val="007F6D46"/>
    <w:rsid w:val="007F7184"/>
    <w:rsid w:val="00800AD0"/>
    <w:rsid w:val="00804419"/>
    <w:rsid w:val="00805054"/>
    <w:rsid w:val="008066FB"/>
    <w:rsid w:val="00806F5B"/>
    <w:rsid w:val="00814974"/>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58DB"/>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856"/>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253F"/>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65DB"/>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261E"/>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214"/>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13E3"/>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695"/>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4996300-976F-4720-8593-2AE76D0D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03BB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B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FE2"/>
    <w:rPr>
      <w:rFonts w:ascii="Segoe UI" w:hAnsi="Segoe UI" w:cs="Segoe UI"/>
      <w:sz w:val="18"/>
      <w:szCs w:val="18"/>
    </w:rPr>
  </w:style>
  <w:style w:type="table" w:styleId="TableGrid">
    <w:name w:val="Table Grid"/>
    <w:basedOn w:val="TableNormal"/>
    <w:uiPriority w:val="59"/>
    <w:rsid w:val="00FD269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03BB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3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90409.docx" TargetMode="External"/><Relationship Id="rId18" Type="http://schemas.openxmlformats.org/officeDocument/2006/relationships/hyperlink" Target="file:///h:\sj\20190410.docx" TargetMode="External"/><Relationship Id="rId26" Type="http://schemas.openxmlformats.org/officeDocument/2006/relationships/hyperlink" Target="file:///h:\sj\20200916.docx" TargetMode="External"/><Relationship Id="rId39" Type="http://schemas.openxmlformats.org/officeDocument/2006/relationships/hyperlink" Target="file:///p:\pprever\2019-20\3596_20190409.docx" TargetMode="External"/><Relationship Id="rId3" Type="http://schemas.openxmlformats.org/officeDocument/2006/relationships/settings" Target="settings.xml"/><Relationship Id="rId21" Type="http://schemas.openxmlformats.org/officeDocument/2006/relationships/hyperlink" Target="file:///h:\sj\20200310.docx" TargetMode="External"/><Relationship Id="rId34" Type="http://schemas.openxmlformats.org/officeDocument/2006/relationships/hyperlink" Target="file:///h:\hj\20200923.docx" TargetMode="External"/><Relationship Id="rId42" Type="http://schemas.openxmlformats.org/officeDocument/2006/relationships/hyperlink" Target="file:///p:\pprever\2019-20\3596_20200310.docx" TargetMode="External"/><Relationship Id="rId47" Type="http://schemas.openxmlformats.org/officeDocument/2006/relationships/hyperlink" Target="file:///p:\pprever\2019-20\3596_20200923A.docx" TargetMode="External"/><Relationship Id="rId50" Type="http://schemas.openxmlformats.org/officeDocument/2006/relationships/fontTable" Target="fontTable.xml"/><Relationship Id="rId7" Type="http://schemas.openxmlformats.org/officeDocument/2006/relationships/hyperlink" Target="file:///h:\hj\20190115.docx" TargetMode="External"/><Relationship Id="rId12" Type="http://schemas.openxmlformats.org/officeDocument/2006/relationships/hyperlink" Target="file:///h:\hj\20190409.docx" TargetMode="External"/><Relationship Id="rId17" Type="http://schemas.openxmlformats.org/officeDocument/2006/relationships/hyperlink" Target="file:///h:\hj\20190410.docx" TargetMode="External"/><Relationship Id="rId25" Type="http://schemas.openxmlformats.org/officeDocument/2006/relationships/hyperlink" Target="file:///h:\sj\20200916.docx" TargetMode="External"/><Relationship Id="rId33" Type="http://schemas.openxmlformats.org/officeDocument/2006/relationships/hyperlink" Target="file:///h:\sj\20200923.docx" TargetMode="External"/><Relationship Id="rId38" Type="http://schemas.openxmlformats.org/officeDocument/2006/relationships/hyperlink" Target="file:///p:\pprever\2019-20\3596_20190327.docx" TargetMode="External"/><Relationship Id="rId46" Type="http://schemas.openxmlformats.org/officeDocument/2006/relationships/hyperlink" Target="file:///p:\pprever\2019-20\3596_20200923.docx" TargetMode="External"/><Relationship Id="rId2" Type="http://schemas.openxmlformats.org/officeDocument/2006/relationships/styles" Target="styles.xml"/><Relationship Id="rId16" Type="http://schemas.openxmlformats.org/officeDocument/2006/relationships/hyperlink" Target="file:///h:\hj\20190409.docx" TargetMode="External"/><Relationship Id="rId20" Type="http://schemas.openxmlformats.org/officeDocument/2006/relationships/hyperlink" Target="file:///h:\sj\20200123.docx" TargetMode="External"/><Relationship Id="rId29" Type="http://schemas.openxmlformats.org/officeDocument/2006/relationships/hyperlink" Target="file:///h:\hj\20200923.docx" TargetMode="External"/><Relationship Id="rId41" Type="http://schemas.openxmlformats.org/officeDocument/2006/relationships/hyperlink" Target="file:///p:\pprever\2019-20\3596_202001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h:\sj\20200916.docx" TargetMode="External"/><Relationship Id="rId32" Type="http://schemas.openxmlformats.org/officeDocument/2006/relationships/hyperlink" Target="file:///h:\sj\20200923.docx" TargetMode="External"/><Relationship Id="rId37" Type="http://schemas.openxmlformats.org/officeDocument/2006/relationships/hyperlink" Target="file:///p:\pprever\2019-20\3596_20190115.docx" TargetMode="External"/><Relationship Id="rId40" Type="http://schemas.openxmlformats.org/officeDocument/2006/relationships/hyperlink" Target="file:///p:\pprever\2019-20\3596_20200123.docx" TargetMode="External"/><Relationship Id="rId45" Type="http://schemas.openxmlformats.org/officeDocument/2006/relationships/hyperlink" Target="file:///p:\pprever\2019-20\3596_20200916.docx" TargetMode="External"/><Relationship Id="rId5" Type="http://schemas.openxmlformats.org/officeDocument/2006/relationships/footnotes" Target="footnotes.xml"/><Relationship Id="rId15" Type="http://schemas.openxmlformats.org/officeDocument/2006/relationships/hyperlink" Target="file:///h:\hj\20190409.docx" TargetMode="External"/><Relationship Id="rId23" Type="http://schemas.openxmlformats.org/officeDocument/2006/relationships/hyperlink" Target="file:///h:\sj\20200311.docx" TargetMode="External"/><Relationship Id="rId28" Type="http://schemas.openxmlformats.org/officeDocument/2006/relationships/hyperlink" Target="file:///h:\sj\20200917.docx" TargetMode="External"/><Relationship Id="rId36" Type="http://schemas.openxmlformats.org/officeDocument/2006/relationships/hyperlink" Target="http://www.scstatehouse.gov/billsearch.php?billnumbers=3596&amp;session=123&amp;summary=B" TargetMode="External"/><Relationship Id="rId49" Type="http://schemas.openxmlformats.org/officeDocument/2006/relationships/footer" Target="footer2.xml"/><Relationship Id="rId10" Type="http://schemas.openxmlformats.org/officeDocument/2006/relationships/hyperlink" Target="file:///h:\hj\20190404.docx" TargetMode="External"/><Relationship Id="rId19" Type="http://schemas.openxmlformats.org/officeDocument/2006/relationships/hyperlink" Target="file:///h:\sj\20190410.docx" TargetMode="External"/><Relationship Id="rId31" Type="http://schemas.openxmlformats.org/officeDocument/2006/relationships/hyperlink" Target="file:///h:\hj\20200923.docx" TargetMode="External"/><Relationship Id="rId44" Type="http://schemas.openxmlformats.org/officeDocument/2006/relationships/hyperlink" Target="file:///p:\pprever\2019-20\3596_20200311A.docx" TargetMode="Externa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hj\20190409.docx" TargetMode="External"/><Relationship Id="rId22" Type="http://schemas.openxmlformats.org/officeDocument/2006/relationships/hyperlink" Target="file:///h:\sj\20200310.docx" TargetMode="External"/><Relationship Id="rId27" Type="http://schemas.openxmlformats.org/officeDocument/2006/relationships/hyperlink" Target="file:///h:\sj\20200916.docx" TargetMode="External"/><Relationship Id="rId30" Type="http://schemas.openxmlformats.org/officeDocument/2006/relationships/hyperlink" Target="file:///h:\hj\20200923.docx" TargetMode="External"/><Relationship Id="rId35" Type="http://schemas.openxmlformats.org/officeDocument/2006/relationships/hyperlink" Target="file:///h:\sj\20200923.docx" TargetMode="External"/><Relationship Id="rId43" Type="http://schemas.openxmlformats.org/officeDocument/2006/relationships/hyperlink" Target="file:///p:\pprever\2019-20\3596_20200311.docx" TargetMode="External"/><Relationship Id="rId48" Type="http://schemas.openxmlformats.org/officeDocument/2006/relationships/footer" Target="footer1.xml"/><Relationship Id="rId8" Type="http://schemas.openxmlformats.org/officeDocument/2006/relationships/hyperlink" Target="file:///h:\hj\20190115.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5BF2-AC17-457D-95CE-2EF33F89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3596: Ad valorem taxes - South Carolina Legislature Online</dc:title>
  <dc:subject/>
  <dc:creator>Niki Downey</dc:creator>
  <cp:keywords/>
  <dc:description/>
  <cp:lastModifiedBy>S Wilson</cp:lastModifiedBy>
  <cp:revision>2</cp:revision>
  <cp:lastPrinted>2020-09-24T00:00:00Z</cp:lastPrinted>
  <dcterms:created xsi:type="dcterms:W3CDTF">2020-10-07T21:00:00Z</dcterms:created>
  <dcterms:modified xsi:type="dcterms:W3CDTF">2020-10-07T21:00:00Z</dcterms:modified>
</cp:coreProperties>
</file>