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047AD" w:rsidRDefault="00D047AD" w:rsidP="00D047AD">
      <w:pPr>
        <w:widowControl w:val="0"/>
        <w:jc w:val="center"/>
      </w:pPr>
      <w:r w:rsidRPr="00D047AD">
        <w:rPr>
          <w:b/>
        </w:rPr>
        <w:t>South Carolina General Assembly</w:t>
      </w:r>
    </w:p>
    <w:p w:rsidR="00D047AD" w:rsidRDefault="00D047AD" w:rsidP="00D047AD">
      <w:pPr>
        <w:widowControl w:val="0"/>
        <w:jc w:val="center"/>
      </w:pPr>
      <w:r>
        <w:t>123rd Session, 2019-2020</w:t>
      </w:r>
    </w:p>
    <w:p w:rsidR="00D047AD" w:rsidRDefault="00D047AD" w:rsidP="00D047AD">
      <w:pPr>
        <w:widowControl w:val="0"/>
        <w:jc w:val="left"/>
      </w:pPr>
    </w:p>
    <w:p w:rsidR="00D047AD" w:rsidRDefault="00D047AD" w:rsidP="00D047AD">
      <w:pPr>
        <w:widowControl w:val="0"/>
        <w:jc w:val="left"/>
        <w:rPr>
          <w:b/>
        </w:rPr>
      </w:pPr>
      <w:r w:rsidRPr="00D047AD">
        <w:rPr>
          <w:b/>
        </w:rPr>
        <w:t>H. 3717</w:t>
      </w:r>
    </w:p>
    <w:p w:rsidR="00D047AD" w:rsidRDefault="00D047AD" w:rsidP="00D047AD">
      <w:pPr>
        <w:widowControl w:val="0"/>
        <w:jc w:val="left"/>
        <w:rPr>
          <w:b/>
        </w:rPr>
      </w:pPr>
    </w:p>
    <w:p w:rsidR="00D047AD" w:rsidRDefault="00D047AD" w:rsidP="00D047AD">
      <w:pPr>
        <w:widowControl w:val="0"/>
        <w:jc w:val="left"/>
      </w:pPr>
      <w:r w:rsidRPr="00D047AD">
        <w:rPr>
          <w:b/>
        </w:rPr>
        <w:t>STATUS INFORMATION</w:t>
      </w:r>
    </w:p>
    <w:p w:rsidR="00D047AD" w:rsidRDefault="00D047AD" w:rsidP="00D047AD">
      <w:pPr>
        <w:widowControl w:val="0"/>
        <w:jc w:val="left"/>
      </w:pPr>
    </w:p>
    <w:p w:rsidR="00D047AD" w:rsidRDefault="00D047AD" w:rsidP="00D047AD">
      <w:pPr>
        <w:widowControl w:val="0"/>
        <w:jc w:val="left"/>
      </w:pPr>
      <w:r>
        <w:t>General Bill</w:t>
      </w:r>
    </w:p>
    <w:p w:rsidR="00D047AD" w:rsidRDefault="00192504" w:rsidP="00D047AD">
      <w:pPr>
        <w:widowControl w:val="0"/>
        <w:jc w:val="left"/>
      </w:pPr>
      <w:r>
        <w:t>Sponsors: Reps. McCoy, Huggins, Rose, Yow, Rutherford, White, Thayer, West, Funderburk, Hardee, Murphy and Hill</w:t>
      </w:r>
    </w:p>
    <w:p w:rsidR="00D047AD" w:rsidRDefault="00D047AD" w:rsidP="00D047AD">
      <w:pPr>
        <w:widowControl w:val="0"/>
        <w:jc w:val="left"/>
      </w:pPr>
      <w:r>
        <w:t>Document Path: l:\council\bills\rt\17557sa19.docx</w:t>
      </w:r>
    </w:p>
    <w:p w:rsidR="00D047AD" w:rsidRDefault="00D047AD" w:rsidP="00D047AD">
      <w:pPr>
        <w:widowControl w:val="0"/>
        <w:jc w:val="left"/>
      </w:pPr>
    </w:p>
    <w:p w:rsidR="00D047AD" w:rsidRDefault="00D047AD" w:rsidP="00D047AD">
      <w:pPr>
        <w:widowControl w:val="0"/>
        <w:jc w:val="left"/>
      </w:pPr>
      <w:r>
        <w:t>Introduced in the House on January 22, 2019</w:t>
      </w:r>
    </w:p>
    <w:p w:rsidR="00D047AD" w:rsidRDefault="00D047AD" w:rsidP="00D047AD">
      <w:pPr>
        <w:widowControl w:val="0"/>
        <w:jc w:val="left"/>
      </w:pPr>
      <w:r>
        <w:t xml:space="preserve">Currently residing in the House Committee on </w:t>
      </w:r>
      <w:r w:rsidRPr="00D047AD">
        <w:rPr>
          <w:b/>
        </w:rPr>
        <w:t>Ways and Means</w:t>
      </w:r>
    </w:p>
    <w:p w:rsidR="00D047AD" w:rsidRDefault="00D047AD" w:rsidP="00D047AD">
      <w:pPr>
        <w:widowControl w:val="0"/>
        <w:jc w:val="left"/>
      </w:pPr>
    </w:p>
    <w:p w:rsidR="00D047AD" w:rsidRDefault="00D047AD" w:rsidP="00D047AD">
      <w:pPr>
        <w:widowControl w:val="0"/>
        <w:jc w:val="left"/>
      </w:pPr>
      <w:r>
        <w:t xml:space="preserve">Summary: </w:t>
      </w:r>
      <w:r w:rsidR="00881528">
        <w:t>Livable Homes Tax Credit Act</w:t>
      </w:r>
    </w:p>
    <w:p w:rsidR="00D047AD" w:rsidRDefault="00D047AD" w:rsidP="00D047AD">
      <w:pPr>
        <w:widowControl w:val="0"/>
        <w:jc w:val="left"/>
      </w:pPr>
    </w:p>
    <w:p w:rsidR="00D047AD" w:rsidRDefault="00D047AD" w:rsidP="00D047AD">
      <w:pPr>
        <w:widowControl w:val="0"/>
        <w:jc w:val="left"/>
      </w:pPr>
    </w:p>
    <w:p w:rsidR="00D047AD" w:rsidRDefault="00D047AD" w:rsidP="00D047AD">
      <w:pPr>
        <w:widowControl w:val="0"/>
        <w:tabs>
          <w:tab w:val="center" w:pos="590"/>
          <w:tab w:val="center" w:pos="1440"/>
          <w:tab w:val="left" w:pos="1872"/>
          <w:tab w:val="left" w:pos="9187"/>
        </w:tabs>
        <w:jc w:val="left"/>
      </w:pPr>
      <w:r w:rsidRPr="00D047AD">
        <w:rPr>
          <w:b/>
        </w:rPr>
        <w:t>HISTORY OF LEGISLATIVE ACTIONS</w:t>
      </w:r>
    </w:p>
    <w:p w:rsidR="00D047AD" w:rsidRDefault="00D047AD" w:rsidP="00D047AD">
      <w:pPr>
        <w:widowControl w:val="0"/>
        <w:tabs>
          <w:tab w:val="center" w:pos="590"/>
          <w:tab w:val="center" w:pos="1440"/>
          <w:tab w:val="left" w:pos="1872"/>
          <w:tab w:val="left" w:pos="9187"/>
        </w:tabs>
        <w:jc w:val="left"/>
      </w:pPr>
    </w:p>
    <w:p w:rsidR="00D047AD" w:rsidRPr="00D047AD" w:rsidRDefault="00D047AD" w:rsidP="00D047AD">
      <w:pPr>
        <w:widowControl w:val="0"/>
        <w:tabs>
          <w:tab w:val="center" w:pos="590"/>
          <w:tab w:val="center" w:pos="1440"/>
          <w:tab w:val="left" w:pos="1872"/>
          <w:tab w:val="left" w:pos="9187"/>
        </w:tabs>
        <w:jc w:val="left"/>
      </w:pPr>
      <w:r w:rsidRPr="00D047AD">
        <w:rPr>
          <w:u w:val="single"/>
        </w:rPr>
        <w:tab/>
        <w:t>Date</w:t>
      </w:r>
      <w:r w:rsidRPr="00D047AD">
        <w:rPr>
          <w:u w:val="single"/>
        </w:rPr>
        <w:tab/>
        <w:t>Body</w:t>
      </w:r>
      <w:r w:rsidRPr="00D047AD">
        <w:rPr>
          <w:u w:val="single"/>
        </w:rPr>
        <w:tab/>
        <w:t>Action Description with journal page number</w:t>
      </w:r>
      <w:r w:rsidRPr="00D047AD">
        <w:rPr>
          <w:u w:val="single"/>
        </w:rPr>
        <w:tab/>
      </w:r>
    </w:p>
    <w:p w:rsidR="00192504" w:rsidRDefault="00192504" w:rsidP="00192504">
      <w:pPr>
        <w:widowControl w:val="0"/>
        <w:tabs>
          <w:tab w:val="right" w:pos="1008"/>
          <w:tab w:val="left" w:pos="1152"/>
          <w:tab w:val="left" w:pos="1872"/>
          <w:tab w:val="left" w:pos="9187"/>
        </w:tabs>
        <w:ind w:left="2088" w:hanging="2088"/>
      </w:pPr>
      <w:r>
        <w:tab/>
        <w:t>1/22/2019</w:t>
      </w:r>
      <w:r>
        <w:tab/>
        <w:t>House</w:t>
      </w:r>
      <w:r>
        <w:tab/>
        <w:t>Introduced and read first time (</w:t>
      </w:r>
      <w:hyperlink r:id="rId7" w:history="1">
        <w:r w:rsidRPr="00D01837">
          <w:rPr>
            <w:rStyle w:val="Hyperlink"/>
          </w:rPr>
          <w:t>House Journal</w:t>
        </w:r>
        <w:r w:rsidRPr="00D01837">
          <w:rPr>
            <w:rStyle w:val="Hyperlink"/>
          </w:rPr>
          <w:noBreakHyphen/>
          <w:t>page 33</w:t>
        </w:r>
      </w:hyperlink>
      <w:r>
        <w:t>)</w:t>
      </w:r>
    </w:p>
    <w:p w:rsidR="00192504" w:rsidRDefault="00192504" w:rsidP="00192504">
      <w:pPr>
        <w:widowControl w:val="0"/>
        <w:tabs>
          <w:tab w:val="right" w:pos="1008"/>
          <w:tab w:val="left" w:pos="1152"/>
          <w:tab w:val="left" w:pos="1872"/>
          <w:tab w:val="left" w:pos="9187"/>
        </w:tabs>
        <w:ind w:left="2088" w:hanging="2088"/>
      </w:pPr>
      <w:r>
        <w:tab/>
        <w:t>1/22/2019</w:t>
      </w:r>
      <w:r>
        <w:tab/>
        <w:t>House</w:t>
      </w:r>
      <w:r>
        <w:tab/>
        <w:t xml:space="preserve">Referred to Committee on </w:t>
      </w:r>
      <w:r w:rsidRPr="00D01837">
        <w:rPr>
          <w:b/>
        </w:rPr>
        <w:t>Ways and Means</w:t>
      </w:r>
      <w:r>
        <w:t xml:space="preserve"> (</w:t>
      </w:r>
      <w:hyperlink r:id="rId8" w:history="1">
        <w:r w:rsidRPr="00D01837">
          <w:rPr>
            <w:rStyle w:val="Hyperlink"/>
          </w:rPr>
          <w:t>House Journal</w:t>
        </w:r>
        <w:r w:rsidRPr="00D01837">
          <w:rPr>
            <w:rStyle w:val="Hyperlink"/>
          </w:rPr>
          <w:noBreakHyphen/>
          <w:t>page 33</w:t>
        </w:r>
      </w:hyperlink>
      <w:r>
        <w:t>)</w:t>
      </w:r>
    </w:p>
    <w:p w:rsidR="00192504" w:rsidRDefault="00192504" w:rsidP="00192504">
      <w:pPr>
        <w:widowControl w:val="0"/>
        <w:tabs>
          <w:tab w:val="right" w:pos="1008"/>
          <w:tab w:val="left" w:pos="1152"/>
          <w:tab w:val="left" w:pos="1872"/>
          <w:tab w:val="left" w:pos="9187"/>
        </w:tabs>
        <w:ind w:left="2088" w:hanging="2088"/>
      </w:pPr>
      <w:r>
        <w:tab/>
        <w:t>2/6/2019</w:t>
      </w:r>
      <w:r>
        <w:tab/>
        <w:t>House</w:t>
      </w:r>
      <w:r>
        <w:tab/>
        <w:t>Member(s) request name added as sponsor: Rose, Yow, Rutherford</w:t>
      </w:r>
    </w:p>
    <w:p w:rsidR="00192504" w:rsidRDefault="00192504" w:rsidP="00192504">
      <w:pPr>
        <w:widowControl w:val="0"/>
        <w:tabs>
          <w:tab w:val="right" w:pos="1008"/>
          <w:tab w:val="left" w:pos="1152"/>
          <w:tab w:val="left" w:pos="1872"/>
          <w:tab w:val="left" w:pos="9187"/>
        </w:tabs>
        <w:ind w:left="2088" w:hanging="2088"/>
      </w:pPr>
      <w:r>
        <w:tab/>
        <w:t>2/13/2019</w:t>
      </w:r>
      <w:r>
        <w:tab/>
        <w:t>House</w:t>
      </w:r>
      <w:r>
        <w:tab/>
        <w:t>Member(s) request name added as sponsor: White, Thayer, West</w:t>
      </w:r>
    </w:p>
    <w:p w:rsidR="00192504" w:rsidRDefault="00192504" w:rsidP="00192504">
      <w:pPr>
        <w:widowControl w:val="0"/>
        <w:tabs>
          <w:tab w:val="right" w:pos="1008"/>
          <w:tab w:val="left" w:pos="1152"/>
          <w:tab w:val="left" w:pos="1872"/>
          <w:tab w:val="left" w:pos="9187"/>
        </w:tabs>
        <w:ind w:left="2088" w:hanging="2088"/>
      </w:pPr>
      <w:r>
        <w:tab/>
        <w:t>2/21/2019</w:t>
      </w:r>
      <w:r>
        <w:tab/>
        <w:t>House</w:t>
      </w:r>
      <w:r>
        <w:tab/>
        <w:t>Member(s) request name added as sponsor: Funderburk</w:t>
      </w:r>
    </w:p>
    <w:p w:rsidR="00192504" w:rsidRDefault="00192504" w:rsidP="00192504">
      <w:pPr>
        <w:widowControl w:val="0"/>
        <w:tabs>
          <w:tab w:val="right" w:pos="1008"/>
          <w:tab w:val="left" w:pos="1152"/>
          <w:tab w:val="left" w:pos="1872"/>
          <w:tab w:val="left" w:pos="9187"/>
        </w:tabs>
        <w:ind w:left="2088" w:hanging="2088"/>
      </w:pPr>
      <w:r>
        <w:tab/>
        <w:t>2/19/2020</w:t>
      </w:r>
      <w:r>
        <w:tab/>
        <w:t>House</w:t>
      </w:r>
      <w:r>
        <w:tab/>
        <w:t>Member(s) request name added as sponsor: Hardee, Murphy</w:t>
      </w:r>
    </w:p>
    <w:p w:rsidR="00192504" w:rsidRDefault="00192504" w:rsidP="00192504">
      <w:pPr>
        <w:widowControl w:val="0"/>
        <w:tabs>
          <w:tab w:val="right" w:pos="1008"/>
          <w:tab w:val="left" w:pos="1152"/>
          <w:tab w:val="left" w:pos="1872"/>
          <w:tab w:val="left" w:pos="9187"/>
        </w:tabs>
        <w:ind w:left="2088" w:hanging="2088"/>
      </w:pPr>
      <w:r>
        <w:tab/>
        <w:t>3/11/2020</w:t>
      </w:r>
      <w:r>
        <w:tab/>
        <w:t>House</w:t>
      </w:r>
      <w:r>
        <w:tab/>
        <w:t>Member(s) request name added as sponsor: Hill</w:t>
      </w:r>
    </w:p>
    <w:p w:rsidR="00192504" w:rsidRDefault="00192504" w:rsidP="00192504">
      <w:pPr>
        <w:widowControl w:val="0"/>
        <w:tabs>
          <w:tab w:val="right" w:pos="1008"/>
          <w:tab w:val="left" w:pos="1152"/>
          <w:tab w:val="left" w:pos="1872"/>
          <w:tab w:val="left" w:pos="9187"/>
        </w:tabs>
        <w:ind w:left="2088" w:hanging="2088"/>
      </w:pPr>
    </w:p>
    <w:p w:rsidR="00D047AD" w:rsidRDefault="00D047AD" w:rsidP="00D047AD">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D047AD">
          <w:rPr>
            <w:rStyle w:val="Hyperlink"/>
          </w:rPr>
          <w:t>legislative information</w:t>
        </w:r>
      </w:hyperlink>
      <w:r>
        <w:t xml:space="preserve"> at the website</w:t>
      </w:r>
    </w:p>
    <w:p w:rsidR="00D047AD" w:rsidRDefault="00D047AD" w:rsidP="00D047AD">
      <w:pPr>
        <w:widowControl w:val="0"/>
        <w:tabs>
          <w:tab w:val="right" w:pos="1008"/>
          <w:tab w:val="left" w:pos="1152"/>
          <w:tab w:val="left" w:pos="1872"/>
          <w:tab w:val="left" w:pos="9187"/>
        </w:tabs>
        <w:ind w:left="2088" w:hanging="2088"/>
        <w:jc w:val="left"/>
      </w:pPr>
    </w:p>
    <w:p w:rsidR="00D047AD" w:rsidRPr="00D047AD" w:rsidRDefault="00D047AD" w:rsidP="00D047AD">
      <w:pPr>
        <w:widowControl w:val="0"/>
        <w:tabs>
          <w:tab w:val="right" w:pos="1008"/>
          <w:tab w:val="left" w:pos="1152"/>
          <w:tab w:val="left" w:pos="1872"/>
          <w:tab w:val="left" w:pos="9187"/>
        </w:tabs>
        <w:ind w:left="2088" w:hanging="2088"/>
        <w:jc w:val="left"/>
      </w:pPr>
    </w:p>
    <w:p w:rsidR="00D047AD" w:rsidRDefault="00D047AD" w:rsidP="00D047AD">
      <w:pPr>
        <w:widowControl w:val="0"/>
        <w:jc w:val="left"/>
      </w:pPr>
      <w:r w:rsidRPr="00D047AD">
        <w:rPr>
          <w:b/>
        </w:rPr>
        <w:t>VERSIONS OF THIS BILL</w:t>
      </w:r>
    </w:p>
    <w:p w:rsidR="00D047AD" w:rsidRDefault="00D047AD" w:rsidP="00D047AD">
      <w:pPr>
        <w:widowControl w:val="0"/>
        <w:jc w:val="left"/>
      </w:pPr>
    </w:p>
    <w:p w:rsidR="00D047AD" w:rsidRDefault="008443F2" w:rsidP="00D047AD">
      <w:pPr>
        <w:widowControl w:val="0"/>
        <w:jc w:val="left"/>
      </w:pPr>
      <w:hyperlink r:id="rId10" w:history="1">
        <w:r w:rsidR="00D047AD">
          <w:rPr>
            <w:rStyle w:val="Hyperlink"/>
          </w:rPr>
          <w:t>1/22/2019</w:t>
        </w:r>
      </w:hyperlink>
    </w:p>
    <w:p w:rsidR="00D047AD" w:rsidRDefault="00D047AD" w:rsidP="00D047AD"/>
    <w:p w:rsidR="00D047AD" w:rsidRDefault="00D047AD" w:rsidP="00D047AD">
      <w:pPr>
        <w:sectPr w:rsidR="00D047AD" w:rsidSect="00D047AD">
          <w:pgSz w:w="12240" w:h="15840" w:code="1"/>
          <w:pgMar w:top="1080" w:right="1440" w:bottom="1080" w:left="1440" w:header="720" w:footer="720" w:gutter="0"/>
          <w:cols w:space="720"/>
          <w:noEndnote/>
          <w:docGrid w:linePitch="360"/>
        </w:sectPr>
      </w:pPr>
    </w:p>
    <w:p w:rsidR="005654AC" w:rsidRDefault="005654A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654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22DA5">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1714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771F2D">
        <w:rPr>
          <w:color w:val="000000" w:themeColor="text1"/>
          <w:u w:color="000000" w:themeColor="text1"/>
        </w:rPr>
        <w:t>TO AMEND THE CODE OF LAWS OF SOUTH CAROLINA, 1976, BY ADDING SECTION 12</w:t>
      </w:r>
      <w:r w:rsidR="00BB18E8">
        <w:rPr>
          <w:color w:val="000000" w:themeColor="text1"/>
          <w:u w:color="000000" w:themeColor="text1"/>
        </w:rPr>
        <w:noBreakHyphen/>
      </w:r>
      <w:r w:rsidRPr="00771F2D">
        <w:rPr>
          <w:color w:val="000000" w:themeColor="text1"/>
          <w:u w:color="000000" w:themeColor="text1"/>
        </w:rPr>
        <w:t>6</w:t>
      </w:r>
      <w:r w:rsidR="00BB18E8">
        <w:rPr>
          <w:color w:val="000000" w:themeColor="text1"/>
          <w:u w:color="000000" w:themeColor="text1"/>
        </w:rPr>
        <w:noBreakHyphen/>
      </w:r>
      <w:r w:rsidRPr="00771F2D">
        <w:rPr>
          <w:color w:val="000000" w:themeColor="text1"/>
          <w:u w:color="000000" w:themeColor="text1"/>
        </w:rPr>
        <w:t>3775 SO AS TO ENACT THE “LIVABLE HOMES TAX CREDIT ACT”, TO PROVIDE FOR AN INDIVIDUAL INCOME TAX CREDIT TO AN INDIVIDUAL WHO PURCHASES A NEW RESIDENCE OR RETROFITS AN EXISTING RESIDENCE, PROVIDED THAT THE NEW RESIDENCE OR THE RETROFITTING OF THE EXISTING RESIDENCE IS DESIGNED TO IMPROVE ACCESSIBILITY, TO PROVIDE A CUMULATIVE TOTAL FOR WHICH THE CREDIT MAY NOT EXCEED, AND TO PROVIDE CERTAIN DESIGN ELEMENT REQUIREMENTS AND ELIGIBLE COSTS.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22DA5" w:rsidRDefault="00022DA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22DA5" w:rsidRDefault="00022DA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714D" w:rsidRPr="00771F2D" w:rsidRDefault="00022DA5" w:rsidP="004171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41714D" w:rsidRPr="00771F2D">
        <w:rPr>
          <w:color w:val="000000" w:themeColor="text1"/>
          <w:u w:color="000000" w:themeColor="text1"/>
        </w:rPr>
        <w:t>This act may be cited as the “Livable Homes Tax Credit Act”.</w:t>
      </w:r>
    </w:p>
    <w:p w:rsidR="0041714D" w:rsidRPr="00771F2D" w:rsidRDefault="0041714D" w:rsidP="004171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1714D" w:rsidRPr="00771F2D" w:rsidRDefault="0041714D" w:rsidP="004171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1F2D">
        <w:rPr>
          <w:color w:val="000000" w:themeColor="text1"/>
          <w:u w:color="000000" w:themeColor="text1"/>
        </w:rPr>
        <w:t>SECTION</w:t>
      </w:r>
      <w:r w:rsidRPr="00771F2D">
        <w:rPr>
          <w:color w:val="000000" w:themeColor="text1"/>
          <w:u w:color="000000" w:themeColor="text1"/>
        </w:rPr>
        <w:tab/>
        <w:t>2.</w:t>
      </w:r>
      <w:r w:rsidRPr="00771F2D">
        <w:rPr>
          <w:color w:val="000000" w:themeColor="text1"/>
          <w:u w:color="000000" w:themeColor="text1"/>
        </w:rPr>
        <w:tab/>
        <w:t>Article 25, Chapter 6, Title 12 of the 1976 Code is amended by adding:</w:t>
      </w:r>
    </w:p>
    <w:p w:rsidR="0041714D" w:rsidRPr="00771F2D" w:rsidRDefault="0041714D" w:rsidP="004171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1714D" w:rsidRPr="00771F2D" w:rsidRDefault="0041714D" w:rsidP="004171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1F2D">
        <w:rPr>
          <w:color w:val="000000" w:themeColor="text1"/>
          <w:u w:color="000000" w:themeColor="text1"/>
        </w:rPr>
        <w:tab/>
        <w:t>“Section 12</w:t>
      </w:r>
      <w:r w:rsidR="00BB18E8">
        <w:rPr>
          <w:color w:val="000000" w:themeColor="text1"/>
          <w:u w:color="000000" w:themeColor="text1"/>
        </w:rPr>
        <w:noBreakHyphen/>
      </w:r>
      <w:r w:rsidRPr="00771F2D">
        <w:rPr>
          <w:color w:val="000000" w:themeColor="text1"/>
          <w:u w:color="000000" w:themeColor="text1"/>
        </w:rPr>
        <w:t>6</w:t>
      </w:r>
      <w:r w:rsidR="00BB18E8">
        <w:rPr>
          <w:color w:val="000000" w:themeColor="text1"/>
          <w:u w:color="000000" w:themeColor="text1"/>
        </w:rPr>
        <w:noBreakHyphen/>
      </w:r>
      <w:r w:rsidRPr="00771F2D">
        <w:rPr>
          <w:color w:val="000000" w:themeColor="text1"/>
          <w:u w:color="000000" w:themeColor="text1"/>
        </w:rPr>
        <w:t>3775.</w:t>
      </w:r>
      <w:r w:rsidRPr="00771F2D">
        <w:rPr>
          <w:color w:val="000000" w:themeColor="text1"/>
          <w:u w:color="000000" w:themeColor="text1"/>
        </w:rPr>
        <w:tab/>
        <w:t>(A)</w:t>
      </w:r>
      <w:r w:rsidRPr="00771F2D">
        <w:rPr>
          <w:color w:val="000000" w:themeColor="text1"/>
          <w:u w:color="000000" w:themeColor="text1"/>
        </w:rPr>
        <w:tab/>
        <w:t>For purposes of this section:</w:t>
      </w:r>
    </w:p>
    <w:p w:rsidR="0041714D" w:rsidRPr="00771F2D" w:rsidRDefault="0041714D" w:rsidP="004171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1F2D">
        <w:rPr>
          <w:color w:val="000000" w:themeColor="text1"/>
          <w:u w:color="000000" w:themeColor="text1"/>
        </w:rPr>
        <w:tab/>
      </w:r>
      <w:r w:rsidRPr="00771F2D">
        <w:rPr>
          <w:color w:val="000000" w:themeColor="text1"/>
          <w:u w:color="000000" w:themeColor="text1"/>
        </w:rPr>
        <w:tab/>
        <w:t>(1)</w:t>
      </w:r>
      <w:r w:rsidRPr="00771F2D">
        <w:rPr>
          <w:color w:val="000000" w:themeColor="text1"/>
          <w:u w:color="000000" w:themeColor="text1"/>
        </w:rPr>
        <w:tab/>
      </w:r>
      <w:r w:rsidR="00BB18E8" w:rsidRPr="00BB18E8">
        <w:rPr>
          <w:color w:val="000000" w:themeColor="text1"/>
          <w:u w:color="000000" w:themeColor="text1"/>
        </w:rPr>
        <w:t>‘</w:t>
      </w:r>
      <w:r w:rsidRPr="00771F2D">
        <w:rPr>
          <w:color w:val="000000" w:themeColor="text1"/>
          <w:u w:color="000000" w:themeColor="text1"/>
        </w:rPr>
        <w:t>Purchase of a new residence</w:t>
      </w:r>
      <w:r w:rsidR="00BB18E8" w:rsidRPr="00BB18E8">
        <w:rPr>
          <w:color w:val="000000" w:themeColor="text1"/>
          <w:u w:color="000000" w:themeColor="text1"/>
        </w:rPr>
        <w:t>’</w:t>
      </w:r>
      <w:r w:rsidRPr="00771F2D">
        <w:rPr>
          <w:color w:val="000000" w:themeColor="text1"/>
          <w:u w:color="000000" w:themeColor="text1"/>
        </w:rPr>
        <w:t xml:space="preserve"> means a transaction involving the first sale of a residence or dwelling. This includes newly constructed units and residential units created through the adaptive reuse of buildings previously used for nonresidential uses.</w:t>
      </w:r>
    </w:p>
    <w:p w:rsidR="0041714D" w:rsidRPr="00771F2D" w:rsidRDefault="0041714D" w:rsidP="004171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1F2D">
        <w:rPr>
          <w:color w:val="000000" w:themeColor="text1"/>
          <w:u w:color="000000" w:themeColor="text1"/>
        </w:rPr>
        <w:tab/>
      </w:r>
      <w:r w:rsidRPr="00771F2D">
        <w:rPr>
          <w:color w:val="000000" w:themeColor="text1"/>
          <w:u w:color="000000" w:themeColor="text1"/>
        </w:rPr>
        <w:tab/>
        <w:t>(2)</w:t>
      </w:r>
      <w:r w:rsidRPr="00771F2D">
        <w:rPr>
          <w:color w:val="000000" w:themeColor="text1"/>
          <w:u w:color="000000" w:themeColor="text1"/>
        </w:rPr>
        <w:tab/>
      </w:r>
      <w:r w:rsidR="00BB18E8" w:rsidRPr="00BB18E8">
        <w:rPr>
          <w:color w:val="000000" w:themeColor="text1"/>
          <w:u w:color="000000" w:themeColor="text1"/>
        </w:rPr>
        <w:t>‘</w:t>
      </w:r>
      <w:r w:rsidRPr="00771F2D">
        <w:rPr>
          <w:color w:val="000000" w:themeColor="text1"/>
          <w:u w:color="000000" w:themeColor="text1"/>
        </w:rPr>
        <w:t>Sensory modifications</w:t>
      </w:r>
      <w:r w:rsidR="00BB18E8" w:rsidRPr="00BB18E8">
        <w:rPr>
          <w:color w:val="000000" w:themeColor="text1"/>
          <w:u w:color="000000" w:themeColor="text1"/>
        </w:rPr>
        <w:t>’</w:t>
      </w:r>
      <w:r w:rsidRPr="00771F2D">
        <w:rPr>
          <w:color w:val="000000" w:themeColor="text1"/>
          <w:u w:color="000000" w:themeColor="text1"/>
        </w:rPr>
        <w:t xml:space="preserve"> means alarms, appliances, and controls designed to assist sensory disabled persons that are structurally integrated into the residential unit including, but not limited to, built</w:t>
      </w:r>
      <w:r w:rsidR="00BB18E8">
        <w:rPr>
          <w:color w:val="000000" w:themeColor="text1"/>
          <w:u w:color="000000" w:themeColor="text1"/>
        </w:rPr>
        <w:noBreakHyphen/>
      </w:r>
      <w:r w:rsidRPr="00771F2D">
        <w:rPr>
          <w:color w:val="000000" w:themeColor="text1"/>
          <w:u w:color="000000" w:themeColor="text1"/>
        </w:rPr>
        <w:t xml:space="preserve">in appliances. Accommodations or features that can be removed and reinstalled in another residential unit and so reused </w:t>
      </w:r>
      <w:r w:rsidRPr="00771F2D">
        <w:rPr>
          <w:color w:val="000000" w:themeColor="text1"/>
          <w:u w:color="000000" w:themeColor="text1"/>
        </w:rPr>
        <w:lastRenderedPageBreak/>
        <w:t>at another location are not considered to be sensory modifications for the purposes of this section.</w:t>
      </w:r>
    </w:p>
    <w:p w:rsidR="0041714D" w:rsidRPr="00771F2D" w:rsidRDefault="0041714D" w:rsidP="004171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1F2D">
        <w:rPr>
          <w:color w:val="000000" w:themeColor="text1"/>
          <w:u w:color="000000" w:themeColor="text1"/>
        </w:rPr>
        <w:tab/>
        <w:t>(B)(1)</w:t>
      </w:r>
      <w:r w:rsidRPr="00771F2D">
        <w:rPr>
          <w:color w:val="000000" w:themeColor="text1"/>
          <w:u w:color="000000" w:themeColor="text1"/>
        </w:rPr>
        <w:tab/>
        <w:t>An individual who purchases a new residence that is designed to improve accessibility and provide universal visitability is allowed an income tax credit equal to ten thousand dollars, but not to exceed the value added by the design.</w:t>
      </w:r>
    </w:p>
    <w:p w:rsidR="0041714D" w:rsidRPr="00771F2D" w:rsidRDefault="0041714D" w:rsidP="004171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1F2D">
        <w:rPr>
          <w:color w:val="000000" w:themeColor="text1"/>
          <w:u w:color="000000" w:themeColor="text1"/>
        </w:rPr>
        <w:tab/>
      </w:r>
      <w:r w:rsidRPr="00771F2D">
        <w:rPr>
          <w:color w:val="000000" w:themeColor="text1"/>
          <w:u w:color="000000" w:themeColor="text1"/>
        </w:rPr>
        <w:tab/>
        <w:t>(2)</w:t>
      </w:r>
      <w:r w:rsidRPr="00771F2D">
        <w:rPr>
          <w:color w:val="000000" w:themeColor="text1"/>
          <w:u w:color="000000" w:themeColor="text1"/>
        </w:rPr>
        <w:tab/>
        <w:t>An individual who retrofits an existing residence is allowed an income tax credit if the purpose of the retrofitting is to improve accessibility and provide universal visitability. The credit equals ten thousand dollars, but not to exceed the cost incurred by the taxpayer.</w:t>
      </w:r>
    </w:p>
    <w:p w:rsidR="0041714D" w:rsidRPr="00771F2D" w:rsidRDefault="0041714D" w:rsidP="004171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1F2D">
        <w:rPr>
          <w:color w:val="000000" w:themeColor="text1"/>
          <w:u w:color="000000" w:themeColor="text1"/>
        </w:rPr>
        <w:tab/>
        <w:t>(C)</w:t>
      </w:r>
      <w:r w:rsidRPr="00771F2D">
        <w:rPr>
          <w:color w:val="000000" w:themeColor="text1"/>
          <w:u w:color="000000" w:themeColor="text1"/>
        </w:rPr>
        <w:tab/>
        <w:t>The credit is earned in the year in which the individual purchases or retrofits the residence. The amount of credit taken by an individual pursuant to this section may not exceed the individual</w:t>
      </w:r>
      <w:r w:rsidR="00BB18E8" w:rsidRPr="00BB18E8">
        <w:rPr>
          <w:color w:val="000000" w:themeColor="text1"/>
          <w:u w:color="000000" w:themeColor="text1"/>
        </w:rPr>
        <w:t>’</w:t>
      </w:r>
      <w:r w:rsidRPr="00771F2D">
        <w:rPr>
          <w:color w:val="000000" w:themeColor="text1"/>
          <w:u w:color="000000" w:themeColor="text1"/>
        </w:rPr>
        <w:t>s income tax liability for the taxable year. A credit claimed pursuant to this section but not used in a taxable year may be carried forward for ten years from the taxable year in which the credit is earned by the individual.</w:t>
      </w:r>
    </w:p>
    <w:p w:rsidR="0041714D" w:rsidRPr="00771F2D" w:rsidRDefault="0041714D" w:rsidP="004171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1F2D">
        <w:rPr>
          <w:color w:val="000000" w:themeColor="text1"/>
          <w:u w:color="000000" w:themeColor="text1"/>
        </w:rPr>
        <w:tab/>
        <w:t>(D)</w:t>
      </w:r>
      <w:r w:rsidRPr="00771F2D">
        <w:rPr>
          <w:color w:val="000000" w:themeColor="text1"/>
          <w:u w:color="000000" w:themeColor="text1"/>
        </w:rPr>
        <w:tab/>
        <w:t>New residences must have the following design elements to qualify:</w:t>
      </w:r>
    </w:p>
    <w:p w:rsidR="0041714D" w:rsidRPr="00771F2D" w:rsidRDefault="0041714D" w:rsidP="004171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1F2D">
        <w:rPr>
          <w:color w:val="000000" w:themeColor="text1"/>
          <w:u w:color="000000" w:themeColor="text1"/>
        </w:rPr>
        <w:tab/>
      </w:r>
      <w:r w:rsidRPr="00771F2D">
        <w:rPr>
          <w:color w:val="000000" w:themeColor="text1"/>
          <w:u w:color="000000" w:themeColor="text1"/>
        </w:rPr>
        <w:tab/>
        <w:t>(1)</w:t>
      </w:r>
      <w:r w:rsidRPr="00771F2D">
        <w:rPr>
          <w:color w:val="000000" w:themeColor="text1"/>
          <w:u w:color="000000" w:themeColor="text1"/>
        </w:rPr>
        <w:tab/>
        <w:t>universal visitability with at least one zero</w:t>
      </w:r>
      <w:r w:rsidR="00BB18E8">
        <w:rPr>
          <w:color w:val="000000" w:themeColor="text1"/>
          <w:u w:color="000000" w:themeColor="text1"/>
        </w:rPr>
        <w:noBreakHyphen/>
      </w:r>
      <w:r w:rsidRPr="00771F2D">
        <w:rPr>
          <w:color w:val="000000" w:themeColor="text1"/>
          <w:u w:color="000000" w:themeColor="text1"/>
        </w:rPr>
        <w:t>step entrance allowing access into the residence; an accessible bathroom on the same floor as the zero</w:t>
      </w:r>
      <w:r w:rsidR="00BB18E8">
        <w:rPr>
          <w:color w:val="000000" w:themeColor="text1"/>
          <w:u w:color="000000" w:themeColor="text1"/>
        </w:rPr>
        <w:noBreakHyphen/>
      </w:r>
      <w:r w:rsidRPr="00771F2D">
        <w:rPr>
          <w:color w:val="000000" w:themeColor="text1"/>
          <w:u w:color="000000" w:themeColor="text1"/>
        </w:rPr>
        <w:t>step entrance; doors with at least thirty</w:t>
      </w:r>
      <w:r w:rsidR="00BB18E8">
        <w:rPr>
          <w:color w:val="000000" w:themeColor="text1"/>
          <w:u w:color="000000" w:themeColor="text1"/>
        </w:rPr>
        <w:noBreakHyphen/>
      </w:r>
      <w:r w:rsidRPr="00771F2D">
        <w:rPr>
          <w:color w:val="000000" w:themeColor="text1"/>
          <w:u w:color="000000" w:themeColor="text1"/>
        </w:rPr>
        <w:t>two inches of clear</w:t>
      </w:r>
      <w:r w:rsidR="00BB18E8">
        <w:rPr>
          <w:color w:val="000000" w:themeColor="text1"/>
          <w:u w:color="000000" w:themeColor="text1"/>
        </w:rPr>
        <w:t xml:space="preserve"> width; and hallways or passages </w:t>
      </w:r>
      <w:r w:rsidRPr="00771F2D">
        <w:rPr>
          <w:color w:val="000000" w:themeColor="text1"/>
          <w:u w:color="000000" w:themeColor="text1"/>
        </w:rPr>
        <w:t>of at least thirty</w:t>
      </w:r>
      <w:r w:rsidR="00BB18E8">
        <w:rPr>
          <w:color w:val="000000" w:themeColor="text1"/>
          <w:u w:color="000000" w:themeColor="text1"/>
        </w:rPr>
        <w:noBreakHyphen/>
      </w:r>
      <w:r w:rsidRPr="00771F2D">
        <w:rPr>
          <w:color w:val="000000" w:themeColor="text1"/>
          <w:u w:color="000000" w:themeColor="text1"/>
        </w:rPr>
        <w:t xml:space="preserve">six inches of clear width to the accessible bathroom and eating area; </w:t>
      </w:r>
    </w:p>
    <w:p w:rsidR="0041714D" w:rsidRPr="00771F2D" w:rsidRDefault="0041714D" w:rsidP="004171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1F2D">
        <w:rPr>
          <w:color w:val="000000" w:themeColor="text1"/>
          <w:u w:color="000000" w:themeColor="text1"/>
        </w:rPr>
        <w:tab/>
      </w:r>
      <w:r w:rsidRPr="00771F2D">
        <w:rPr>
          <w:color w:val="000000" w:themeColor="text1"/>
          <w:u w:color="000000" w:themeColor="text1"/>
        </w:rPr>
        <w:tab/>
        <w:t>(2)</w:t>
      </w:r>
      <w:r w:rsidRPr="00771F2D">
        <w:rPr>
          <w:color w:val="000000" w:themeColor="text1"/>
          <w:u w:color="000000" w:themeColor="text1"/>
        </w:rPr>
        <w:tab/>
        <w:t>an accessible route to at least one zero</w:t>
      </w:r>
      <w:r w:rsidR="00BB18E8">
        <w:rPr>
          <w:color w:val="000000" w:themeColor="text1"/>
          <w:u w:color="000000" w:themeColor="text1"/>
        </w:rPr>
        <w:noBreakHyphen/>
      </w:r>
      <w:r w:rsidRPr="00771F2D">
        <w:rPr>
          <w:color w:val="000000" w:themeColor="text1"/>
          <w:u w:color="000000" w:themeColor="text1"/>
        </w:rPr>
        <w:t>step entrance allowing access into the residence with at least two of the following features:</w:t>
      </w:r>
    </w:p>
    <w:p w:rsidR="0041714D" w:rsidRPr="00771F2D" w:rsidRDefault="0041714D" w:rsidP="004171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1F2D">
        <w:rPr>
          <w:color w:val="000000" w:themeColor="text1"/>
          <w:u w:color="000000" w:themeColor="text1"/>
        </w:rPr>
        <w:tab/>
      </w:r>
      <w:r w:rsidRPr="00771F2D">
        <w:rPr>
          <w:color w:val="000000" w:themeColor="text1"/>
          <w:u w:color="000000" w:themeColor="text1"/>
        </w:rPr>
        <w:tab/>
      </w:r>
      <w:r w:rsidRPr="00771F2D">
        <w:rPr>
          <w:color w:val="000000" w:themeColor="text1"/>
          <w:u w:color="000000" w:themeColor="text1"/>
        </w:rPr>
        <w:tab/>
        <w:t>(a)</w:t>
      </w:r>
      <w:r w:rsidRPr="00771F2D">
        <w:rPr>
          <w:color w:val="000000" w:themeColor="text1"/>
          <w:u w:color="000000" w:themeColor="text1"/>
        </w:rPr>
        <w:tab/>
        <w:t>accessible light switches, electrical outlets, and environmental controls;</w:t>
      </w:r>
    </w:p>
    <w:p w:rsidR="0041714D" w:rsidRPr="00771F2D" w:rsidRDefault="0041714D" w:rsidP="004171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1F2D">
        <w:rPr>
          <w:color w:val="000000" w:themeColor="text1"/>
          <w:u w:color="000000" w:themeColor="text1"/>
        </w:rPr>
        <w:tab/>
      </w:r>
      <w:r w:rsidRPr="00771F2D">
        <w:rPr>
          <w:color w:val="000000" w:themeColor="text1"/>
          <w:u w:color="000000" w:themeColor="text1"/>
        </w:rPr>
        <w:tab/>
      </w:r>
      <w:r w:rsidRPr="00771F2D">
        <w:rPr>
          <w:color w:val="000000" w:themeColor="text1"/>
          <w:u w:color="000000" w:themeColor="text1"/>
        </w:rPr>
        <w:tab/>
        <w:t>(b)</w:t>
      </w:r>
      <w:r w:rsidRPr="00771F2D">
        <w:rPr>
          <w:color w:val="000000" w:themeColor="text1"/>
          <w:u w:color="000000" w:themeColor="text1"/>
        </w:rPr>
        <w:tab/>
        <w:t>an accessible bathroom on the main floor; or</w:t>
      </w:r>
    </w:p>
    <w:p w:rsidR="0041714D" w:rsidRPr="00771F2D" w:rsidRDefault="0041714D" w:rsidP="004171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1F2D">
        <w:rPr>
          <w:color w:val="000000" w:themeColor="text1"/>
          <w:u w:color="000000" w:themeColor="text1"/>
        </w:rPr>
        <w:tab/>
      </w:r>
      <w:r w:rsidRPr="00771F2D">
        <w:rPr>
          <w:color w:val="000000" w:themeColor="text1"/>
          <w:u w:color="000000" w:themeColor="text1"/>
        </w:rPr>
        <w:tab/>
      </w:r>
      <w:r w:rsidRPr="00771F2D">
        <w:rPr>
          <w:color w:val="000000" w:themeColor="text1"/>
          <w:u w:color="000000" w:themeColor="text1"/>
        </w:rPr>
        <w:tab/>
        <w:t>(c)</w:t>
      </w:r>
      <w:r w:rsidRPr="00771F2D">
        <w:rPr>
          <w:color w:val="000000" w:themeColor="text1"/>
          <w:u w:color="000000" w:themeColor="text1"/>
        </w:rPr>
        <w:tab/>
        <w:t>accessible and useable kitchen facilities; or</w:t>
      </w:r>
    </w:p>
    <w:p w:rsidR="0041714D" w:rsidRPr="00771F2D" w:rsidRDefault="0041714D" w:rsidP="004171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1F2D">
        <w:rPr>
          <w:color w:val="000000" w:themeColor="text1"/>
          <w:u w:color="000000" w:themeColor="text1"/>
        </w:rPr>
        <w:tab/>
      </w:r>
      <w:r w:rsidRPr="00771F2D">
        <w:rPr>
          <w:color w:val="000000" w:themeColor="text1"/>
          <w:u w:color="000000" w:themeColor="text1"/>
        </w:rPr>
        <w:tab/>
        <w:t>(3)</w:t>
      </w:r>
      <w:r w:rsidRPr="00771F2D">
        <w:rPr>
          <w:color w:val="000000" w:themeColor="text1"/>
          <w:u w:color="000000" w:themeColor="text1"/>
        </w:rPr>
        <w:tab/>
        <w:t>homes that carry the Certified Universal Living home certification, or any other third</w:t>
      </w:r>
      <w:r w:rsidR="00BB18E8">
        <w:rPr>
          <w:color w:val="000000" w:themeColor="text1"/>
          <w:u w:color="000000" w:themeColor="text1"/>
        </w:rPr>
        <w:noBreakHyphen/>
      </w:r>
      <w:r w:rsidRPr="00771F2D">
        <w:rPr>
          <w:color w:val="000000" w:themeColor="text1"/>
          <w:u w:color="000000" w:themeColor="text1"/>
        </w:rPr>
        <w:t>party verified certification that includes all items listed in items (1) and (2). Proof of certification must be provided by the homeowner to the department.</w:t>
      </w:r>
    </w:p>
    <w:p w:rsidR="0041714D" w:rsidRPr="00771F2D" w:rsidRDefault="0041714D" w:rsidP="004171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1F2D">
        <w:rPr>
          <w:color w:val="000000" w:themeColor="text1"/>
          <w:u w:color="000000" w:themeColor="text1"/>
        </w:rPr>
        <w:tab/>
        <w:t>(E)</w:t>
      </w:r>
      <w:r w:rsidRPr="00771F2D">
        <w:rPr>
          <w:color w:val="000000" w:themeColor="text1"/>
          <w:u w:color="000000" w:themeColor="text1"/>
        </w:rPr>
        <w:tab/>
        <w:t>Eligible costs for the retrofitting of an existing residential unit may include modifications that become a permanent part of the structure and provide:</w:t>
      </w:r>
    </w:p>
    <w:p w:rsidR="0041714D" w:rsidRPr="00771F2D" w:rsidRDefault="0041714D" w:rsidP="004171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1F2D">
        <w:rPr>
          <w:color w:val="000000" w:themeColor="text1"/>
          <w:u w:color="000000" w:themeColor="text1"/>
        </w:rPr>
        <w:tab/>
      </w:r>
      <w:r w:rsidRPr="00771F2D">
        <w:rPr>
          <w:color w:val="000000" w:themeColor="text1"/>
          <w:u w:color="000000" w:themeColor="text1"/>
        </w:rPr>
        <w:tab/>
        <w:t>(1)</w:t>
      </w:r>
      <w:r w:rsidRPr="00771F2D">
        <w:rPr>
          <w:color w:val="000000" w:themeColor="text1"/>
          <w:u w:color="000000" w:themeColor="text1"/>
        </w:rPr>
        <w:tab/>
        <w:t>accessible route to a zero</w:t>
      </w:r>
      <w:r w:rsidR="00BB18E8">
        <w:rPr>
          <w:color w:val="000000" w:themeColor="text1"/>
          <w:u w:color="000000" w:themeColor="text1"/>
        </w:rPr>
        <w:noBreakHyphen/>
      </w:r>
      <w:r w:rsidRPr="00771F2D">
        <w:rPr>
          <w:color w:val="000000" w:themeColor="text1"/>
          <w:u w:color="000000" w:themeColor="text1"/>
        </w:rPr>
        <w:t>step entrance into the residence;</w:t>
      </w:r>
    </w:p>
    <w:p w:rsidR="0041714D" w:rsidRPr="00771F2D" w:rsidRDefault="0041714D" w:rsidP="004171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1F2D">
        <w:rPr>
          <w:color w:val="000000" w:themeColor="text1"/>
          <w:u w:color="000000" w:themeColor="text1"/>
        </w:rPr>
        <w:tab/>
      </w:r>
      <w:r w:rsidRPr="00771F2D">
        <w:rPr>
          <w:color w:val="000000" w:themeColor="text1"/>
          <w:u w:color="000000" w:themeColor="text1"/>
        </w:rPr>
        <w:tab/>
        <w:t>(2)</w:t>
      </w:r>
      <w:r w:rsidRPr="00771F2D">
        <w:rPr>
          <w:color w:val="000000" w:themeColor="text1"/>
          <w:u w:color="000000" w:themeColor="text1"/>
        </w:rPr>
        <w:tab/>
        <w:t>zero</w:t>
      </w:r>
      <w:r w:rsidR="00BB18E8">
        <w:rPr>
          <w:color w:val="000000" w:themeColor="text1"/>
          <w:u w:color="000000" w:themeColor="text1"/>
        </w:rPr>
        <w:noBreakHyphen/>
      </w:r>
      <w:r w:rsidRPr="00771F2D">
        <w:rPr>
          <w:color w:val="000000" w:themeColor="text1"/>
          <w:u w:color="000000" w:themeColor="text1"/>
        </w:rPr>
        <w:t xml:space="preserve">step entrance into the residence; </w:t>
      </w:r>
    </w:p>
    <w:p w:rsidR="0041714D" w:rsidRPr="00771F2D" w:rsidRDefault="0041714D" w:rsidP="004171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1F2D">
        <w:rPr>
          <w:color w:val="000000" w:themeColor="text1"/>
          <w:u w:color="000000" w:themeColor="text1"/>
        </w:rPr>
        <w:tab/>
      </w:r>
      <w:r w:rsidRPr="00771F2D">
        <w:rPr>
          <w:color w:val="000000" w:themeColor="text1"/>
          <w:u w:color="000000" w:themeColor="text1"/>
        </w:rPr>
        <w:tab/>
        <w:t>(3)</w:t>
      </w:r>
      <w:r w:rsidRPr="00771F2D">
        <w:rPr>
          <w:color w:val="000000" w:themeColor="text1"/>
          <w:u w:color="000000" w:themeColor="text1"/>
        </w:rPr>
        <w:tab/>
        <w:t>doors with at least thirty</w:t>
      </w:r>
      <w:r w:rsidR="00BB18E8">
        <w:rPr>
          <w:color w:val="000000" w:themeColor="text1"/>
          <w:u w:color="000000" w:themeColor="text1"/>
        </w:rPr>
        <w:noBreakHyphen/>
      </w:r>
      <w:r w:rsidRPr="00771F2D">
        <w:rPr>
          <w:color w:val="000000" w:themeColor="text1"/>
          <w:u w:color="000000" w:themeColor="text1"/>
        </w:rPr>
        <w:t>two inches of clear width;</w:t>
      </w:r>
    </w:p>
    <w:p w:rsidR="0041714D" w:rsidRPr="00771F2D" w:rsidRDefault="0041714D" w:rsidP="004171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1F2D">
        <w:rPr>
          <w:color w:val="000000" w:themeColor="text1"/>
          <w:u w:color="000000" w:themeColor="text1"/>
        </w:rPr>
        <w:tab/>
      </w:r>
      <w:r w:rsidRPr="00771F2D">
        <w:rPr>
          <w:color w:val="000000" w:themeColor="text1"/>
          <w:u w:color="000000" w:themeColor="text1"/>
        </w:rPr>
        <w:tab/>
        <w:t>(4)</w:t>
      </w:r>
      <w:r w:rsidRPr="00771F2D">
        <w:rPr>
          <w:color w:val="000000" w:themeColor="text1"/>
          <w:u w:color="000000" w:themeColor="text1"/>
        </w:rPr>
        <w:tab/>
        <w:t>hallways and passages with at least thirty</w:t>
      </w:r>
      <w:r w:rsidR="00BB18E8">
        <w:rPr>
          <w:color w:val="000000" w:themeColor="text1"/>
          <w:u w:color="000000" w:themeColor="text1"/>
        </w:rPr>
        <w:noBreakHyphen/>
      </w:r>
      <w:r w:rsidRPr="00771F2D">
        <w:rPr>
          <w:color w:val="000000" w:themeColor="text1"/>
          <w:u w:color="000000" w:themeColor="text1"/>
        </w:rPr>
        <w:t>six inches of clear width;</w:t>
      </w:r>
    </w:p>
    <w:p w:rsidR="0041714D" w:rsidRPr="00771F2D" w:rsidRDefault="0041714D" w:rsidP="004171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1F2D">
        <w:rPr>
          <w:color w:val="000000" w:themeColor="text1"/>
          <w:u w:color="000000" w:themeColor="text1"/>
        </w:rPr>
        <w:tab/>
      </w:r>
      <w:r w:rsidRPr="00771F2D">
        <w:rPr>
          <w:color w:val="000000" w:themeColor="text1"/>
          <w:u w:color="000000" w:themeColor="text1"/>
        </w:rPr>
        <w:tab/>
        <w:t>(5)</w:t>
      </w:r>
      <w:r w:rsidRPr="00771F2D">
        <w:rPr>
          <w:color w:val="000000" w:themeColor="text1"/>
          <w:u w:color="000000" w:themeColor="text1"/>
        </w:rPr>
        <w:tab/>
        <w:t>accessible light switches, electrical outlets, and environmental controls;</w:t>
      </w:r>
    </w:p>
    <w:p w:rsidR="0041714D" w:rsidRPr="00771F2D" w:rsidRDefault="0041714D" w:rsidP="004171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1F2D">
        <w:rPr>
          <w:color w:val="000000" w:themeColor="text1"/>
          <w:u w:color="000000" w:themeColor="text1"/>
        </w:rPr>
        <w:tab/>
      </w:r>
      <w:r w:rsidRPr="00771F2D">
        <w:rPr>
          <w:color w:val="000000" w:themeColor="text1"/>
          <w:u w:color="000000" w:themeColor="text1"/>
        </w:rPr>
        <w:tab/>
        <w:t>(6)</w:t>
      </w:r>
      <w:r w:rsidRPr="00771F2D">
        <w:rPr>
          <w:color w:val="000000" w:themeColor="text1"/>
          <w:u w:color="000000" w:themeColor="text1"/>
        </w:rPr>
        <w:tab/>
        <w:t>accessible bathroom;</w:t>
      </w:r>
    </w:p>
    <w:p w:rsidR="0041714D" w:rsidRPr="00771F2D" w:rsidRDefault="0041714D" w:rsidP="004171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1F2D">
        <w:rPr>
          <w:color w:val="000000" w:themeColor="text1"/>
          <w:u w:color="000000" w:themeColor="text1"/>
        </w:rPr>
        <w:tab/>
      </w:r>
      <w:r w:rsidRPr="00771F2D">
        <w:rPr>
          <w:color w:val="000000" w:themeColor="text1"/>
          <w:u w:color="000000" w:themeColor="text1"/>
        </w:rPr>
        <w:tab/>
        <w:t>(7)</w:t>
      </w:r>
      <w:r w:rsidRPr="00771F2D">
        <w:rPr>
          <w:color w:val="000000" w:themeColor="text1"/>
          <w:u w:color="000000" w:themeColor="text1"/>
        </w:rPr>
        <w:tab/>
        <w:t>accessible and useable kitchen facilities;</w:t>
      </w:r>
    </w:p>
    <w:p w:rsidR="0041714D" w:rsidRPr="00771F2D" w:rsidRDefault="0041714D" w:rsidP="004171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1F2D">
        <w:rPr>
          <w:color w:val="000000" w:themeColor="text1"/>
          <w:u w:color="000000" w:themeColor="text1"/>
        </w:rPr>
        <w:tab/>
      </w:r>
      <w:r w:rsidRPr="00771F2D">
        <w:rPr>
          <w:color w:val="000000" w:themeColor="text1"/>
          <w:u w:color="000000" w:themeColor="text1"/>
        </w:rPr>
        <w:tab/>
        <w:t>(8)</w:t>
      </w:r>
      <w:r w:rsidRPr="00771F2D">
        <w:rPr>
          <w:color w:val="000000" w:themeColor="text1"/>
          <w:u w:color="000000" w:themeColor="text1"/>
        </w:rPr>
        <w:tab/>
        <w:t>chair lifts;</w:t>
      </w:r>
    </w:p>
    <w:p w:rsidR="0041714D" w:rsidRPr="00771F2D" w:rsidRDefault="0041714D" w:rsidP="004171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1F2D">
        <w:rPr>
          <w:color w:val="000000" w:themeColor="text1"/>
          <w:u w:color="000000" w:themeColor="text1"/>
        </w:rPr>
        <w:tab/>
      </w:r>
      <w:r w:rsidRPr="00771F2D">
        <w:rPr>
          <w:color w:val="000000" w:themeColor="text1"/>
          <w:u w:color="000000" w:themeColor="text1"/>
        </w:rPr>
        <w:tab/>
        <w:t>(9)</w:t>
      </w:r>
      <w:r w:rsidRPr="00771F2D">
        <w:rPr>
          <w:color w:val="000000" w:themeColor="text1"/>
          <w:u w:color="000000" w:themeColor="text1"/>
        </w:rPr>
        <w:tab/>
        <w:t>sensory modifications; and</w:t>
      </w:r>
    </w:p>
    <w:p w:rsidR="0041714D" w:rsidRPr="00771F2D" w:rsidRDefault="0041714D" w:rsidP="004171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1F2D">
        <w:rPr>
          <w:color w:val="000000" w:themeColor="text1"/>
          <w:u w:color="000000" w:themeColor="text1"/>
        </w:rPr>
        <w:tab/>
      </w:r>
      <w:r w:rsidRPr="00771F2D">
        <w:rPr>
          <w:color w:val="000000" w:themeColor="text1"/>
          <w:u w:color="000000" w:themeColor="text1"/>
        </w:rPr>
        <w:tab/>
        <w:t>(10)</w:t>
      </w:r>
      <w:r w:rsidRPr="00771F2D">
        <w:rPr>
          <w:color w:val="000000" w:themeColor="text1"/>
          <w:u w:color="000000" w:themeColor="text1"/>
        </w:rPr>
        <w:tab/>
        <w:t>elevators.</w:t>
      </w:r>
    </w:p>
    <w:p w:rsidR="0041714D" w:rsidRPr="00771F2D" w:rsidRDefault="0041714D" w:rsidP="004171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1F2D">
        <w:rPr>
          <w:color w:val="000000" w:themeColor="text1"/>
          <w:u w:color="000000" w:themeColor="text1"/>
        </w:rPr>
        <w:tab/>
        <w:t>(F)</w:t>
      </w:r>
      <w:r w:rsidRPr="00771F2D">
        <w:rPr>
          <w:color w:val="000000" w:themeColor="text1"/>
          <w:u w:color="000000" w:themeColor="text1"/>
        </w:rPr>
        <w:tab/>
        <w:t>The department may not issue multiple tax credits relating to transactions or dealings between affiliated entities for the same retrofitting, renovation, or construction project. The department may not issue a tax credit more than once to the same or different individuals relating to the same retrofitting, renovation, or construction project.</w:t>
      </w:r>
    </w:p>
    <w:p w:rsidR="0041714D" w:rsidRPr="00771F2D" w:rsidRDefault="0041714D" w:rsidP="004171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1F2D">
        <w:rPr>
          <w:color w:val="000000" w:themeColor="text1"/>
          <w:u w:color="000000" w:themeColor="text1"/>
        </w:rPr>
        <w:tab/>
        <w:t>(G)</w:t>
      </w:r>
      <w:r w:rsidRPr="00771F2D">
        <w:rPr>
          <w:color w:val="000000" w:themeColor="text1"/>
          <w:u w:color="000000" w:themeColor="text1"/>
        </w:rPr>
        <w:tab/>
        <w:t>A credit granted to a partnership, limited liability company, or electing small business corporation is allocated to the individual partners, members, or shareholders, respectively, in proportion to their ownership or interest in the business entities.”</w:t>
      </w:r>
    </w:p>
    <w:p w:rsidR="0041714D" w:rsidRPr="00771F2D" w:rsidRDefault="0041714D" w:rsidP="004171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2DA5" w:rsidRPr="0041714D" w:rsidRDefault="0041714D" w:rsidP="004171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1F2D">
        <w:rPr>
          <w:color w:val="000000" w:themeColor="text1"/>
          <w:u w:color="000000" w:themeColor="text1"/>
        </w:rPr>
        <w:t>SECTION</w:t>
      </w:r>
      <w:r w:rsidRPr="00771F2D">
        <w:rPr>
          <w:color w:val="000000" w:themeColor="text1"/>
          <w:u w:color="000000" w:themeColor="text1"/>
        </w:rPr>
        <w:tab/>
        <w:t>3.</w:t>
      </w:r>
      <w:r w:rsidRPr="00771F2D">
        <w:rPr>
          <w:color w:val="000000" w:themeColor="text1"/>
          <w:u w:color="000000" w:themeColor="text1"/>
        </w:rPr>
        <w:tab/>
        <w:t>This act takes effect upon approval of the Governor and applies for purchases or retrofits made after July 1, 2019.</w:t>
      </w:r>
    </w:p>
    <w:p w:rsidR="00DD466A" w:rsidRDefault="00BB18E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047AD" w:rsidRDefault="00D047AD" w:rsidP="00D047AD">
      <w:pPr>
        <w:suppressAutoHyphens/>
      </w:pPr>
    </w:p>
    <w:sectPr w:rsidR="00D047AD" w:rsidSect="00D047AD">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22DA5" w:rsidRDefault="00022DA5" w:rsidP="009F0C77">
      <w:r>
        <w:separator/>
      </w:r>
    </w:p>
  </w:endnote>
  <w:endnote w:type="continuationSeparator" w:id="0">
    <w:p w:rsidR="00022DA5" w:rsidRDefault="00022DA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EF211D93-26D5-4E03-9FFC-23D9E5F30B7A}"/>
    <w:embedBold r:id="rId2" w:fontKey="{239D24EE-ED9E-4F01-BE3E-55875ED2A00C}"/>
  </w:font>
  <w:font w:name="Calibri">
    <w:panose1 w:val="020F0502020204030204"/>
    <w:charset w:val="00"/>
    <w:family w:val="swiss"/>
    <w:pitch w:val="variable"/>
    <w:sig w:usb0="E0002EFF" w:usb1="C000247B" w:usb2="00000009" w:usb3="00000000" w:csb0="000001FF" w:csb1="00000000"/>
    <w:embedRegular r:id="rId3" w:fontKey="{34AA6900-556B-4AFE-B13A-8519C7329BFC}"/>
  </w:font>
  <w:font w:name="Cambria">
    <w:panose1 w:val="02040503050406030204"/>
    <w:charset w:val="00"/>
    <w:family w:val="roman"/>
    <w:pitch w:val="variable"/>
    <w:sig w:usb0="E00006FF" w:usb1="420024FF" w:usb2="02000000" w:usb3="00000000" w:csb0="0000019F" w:csb1="00000000"/>
    <w:embedRegular r:id="rId4" w:fontKey="{2DFDB1DB-BEA8-4C3F-8094-AAD79B66341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47AD" w:rsidRPr="005654AC" w:rsidRDefault="00D047AD" w:rsidP="005654AC">
    <w:pPr>
      <w:pStyle w:val="Footer"/>
      <w:tabs>
        <w:tab w:val="clear" w:pos="4680"/>
        <w:tab w:val="clear" w:pos="9360"/>
        <w:tab w:val="center" w:pos="2995"/>
      </w:tabs>
      <w:spacing w:before="120"/>
    </w:pPr>
    <w:r>
      <w:t>[3717]</w:t>
    </w:r>
    <w:r>
      <w:tab/>
    </w:r>
    <w:r>
      <w:fldChar w:fldCharType="begin"/>
    </w:r>
    <w:r>
      <w:instrText xml:space="preserve"> PAGE  \* MERGEFORMAT </w:instrText>
    </w:r>
    <w:r>
      <w:fldChar w:fldCharType="separate"/>
    </w:r>
    <w:r w:rsidR="00192504">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22DA5" w:rsidRDefault="00022DA5" w:rsidP="009F0C77">
      <w:r>
        <w:separator/>
      </w:r>
    </w:p>
  </w:footnote>
  <w:footnote w:type="continuationSeparator" w:id="0">
    <w:p w:rsidR="00022DA5" w:rsidRDefault="00022DA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557SA19"/>
    <w:docVar w:name="CoverBillType" w:val="b"/>
    <w:docVar w:name="DocPath" w:val="L:\Council\bills\RT\17557SA19.DOCX"/>
    <w:docVar w:name="dvBillNumber" w:val="3717"/>
    <w:docVar w:name="dvBillNumberPrefix" w:val="H. "/>
    <w:docVar w:name="dvOriginalBody" w:val="House"/>
    <w:docVar w:name="dvSteno" w:val="RT"/>
    <w:docVar w:name="NameofBody" w:val="h"/>
    <w:docVar w:name="vGroup2" w:val="Council"/>
  </w:docVars>
  <w:rsids>
    <w:rsidRoot w:val="00022DA5"/>
    <w:rsid w:val="00011869"/>
    <w:rsid w:val="00015CD6"/>
    <w:rsid w:val="00022DA5"/>
    <w:rsid w:val="00070B00"/>
    <w:rsid w:val="000E0100"/>
    <w:rsid w:val="000E1785"/>
    <w:rsid w:val="000F40FA"/>
    <w:rsid w:val="001035F1"/>
    <w:rsid w:val="0010776B"/>
    <w:rsid w:val="00133E66"/>
    <w:rsid w:val="001435A3"/>
    <w:rsid w:val="00146ED3"/>
    <w:rsid w:val="00151044"/>
    <w:rsid w:val="00192504"/>
    <w:rsid w:val="001D08F2"/>
    <w:rsid w:val="001D3A58"/>
    <w:rsid w:val="001D525B"/>
    <w:rsid w:val="001D7F4F"/>
    <w:rsid w:val="00205238"/>
    <w:rsid w:val="00223916"/>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14D"/>
    <w:rsid w:val="0041760A"/>
    <w:rsid w:val="00417C01"/>
    <w:rsid w:val="004403BD"/>
    <w:rsid w:val="00461441"/>
    <w:rsid w:val="004809EE"/>
    <w:rsid w:val="004E7D54"/>
    <w:rsid w:val="00516215"/>
    <w:rsid w:val="00526083"/>
    <w:rsid w:val="005273C6"/>
    <w:rsid w:val="00530A69"/>
    <w:rsid w:val="00545593"/>
    <w:rsid w:val="00556EBF"/>
    <w:rsid w:val="005654AC"/>
    <w:rsid w:val="00577C6C"/>
    <w:rsid w:val="005A62FE"/>
    <w:rsid w:val="005C2FE2"/>
    <w:rsid w:val="005E2BC9"/>
    <w:rsid w:val="00605102"/>
    <w:rsid w:val="006215AA"/>
    <w:rsid w:val="0069119E"/>
    <w:rsid w:val="006913C9"/>
    <w:rsid w:val="0069470D"/>
    <w:rsid w:val="006D58AA"/>
    <w:rsid w:val="00734F00"/>
    <w:rsid w:val="00756381"/>
    <w:rsid w:val="007A70AE"/>
    <w:rsid w:val="008362E8"/>
    <w:rsid w:val="0085786E"/>
    <w:rsid w:val="00881528"/>
    <w:rsid w:val="008A1768"/>
    <w:rsid w:val="008A489F"/>
    <w:rsid w:val="008F0F33"/>
    <w:rsid w:val="008F4429"/>
    <w:rsid w:val="0094021A"/>
    <w:rsid w:val="009B44AF"/>
    <w:rsid w:val="009C6A0B"/>
    <w:rsid w:val="009D4F62"/>
    <w:rsid w:val="009F0C77"/>
    <w:rsid w:val="009F4DD1"/>
    <w:rsid w:val="00A02543"/>
    <w:rsid w:val="00A41684"/>
    <w:rsid w:val="00A64E80"/>
    <w:rsid w:val="00A72BCD"/>
    <w:rsid w:val="00A741D9"/>
    <w:rsid w:val="00A833AB"/>
    <w:rsid w:val="00A9741D"/>
    <w:rsid w:val="00AC34A2"/>
    <w:rsid w:val="00AD1C9A"/>
    <w:rsid w:val="00AD4B17"/>
    <w:rsid w:val="00B412D4"/>
    <w:rsid w:val="00BB18E8"/>
    <w:rsid w:val="00BE3C22"/>
    <w:rsid w:val="00C0345E"/>
    <w:rsid w:val="00C31C95"/>
    <w:rsid w:val="00C3483A"/>
    <w:rsid w:val="00C74E9D"/>
    <w:rsid w:val="00C826DD"/>
    <w:rsid w:val="00C82FD3"/>
    <w:rsid w:val="00C92819"/>
    <w:rsid w:val="00CC6B7B"/>
    <w:rsid w:val="00CD2089"/>
    <w:rsid w:val="00D047AD"/>
    <w:rsid w:val="00D4607C"/>
    <w:rsid w:val="00D73A67"/>
    <w:rsid w:val="00D970A9"/>
    <w:rsid w:val="00DD466A"/>
    <w:rsid w:val="00DF3845"/>
    <w:rsid w:val="00E41911"/>
    <w:rsid w:val="00E44B57"/>
    <w:rsid w:val="00E92EEF"/>
    <w:rsid w:val="00EF2368"/>
    <w:rsid w:val="00F24442"/>
    <w:rsid w:val="00F25BBF"/>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0BF3D56-59B3-445F-8191-CC20A67ED6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D047A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12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12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3717_20190122.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717&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5760F8-1CA2-4FCC-9599-31A09316EA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7910D6F3</Template>
  <TotalTime>0</TotalTime>
  <Pages>3</Pages>
  <Words>1009</Words>
  <Characters>5156</Characters>
  <Application>Microsoft Office Word</Application>
  <DocSecurity>0</DocSecurity>
  <Lines>214</Lines>
  <Paragraphs>41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6124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3717: Livable Homes Tax Credit Act - South Carolina Legislature Online</dc:title>
  <dc:creator>Rebecca Turner</dc:creator>
  <cp:lastModifiedBy>S Wilson</cp:lastModifiedBy>
  <cp:revision>2</cp:revision>
  <dcterms:created xsi:type="dcterms:W3CDTF">2020-03-11T15:05:00Z</dcterms:created>
  <dcterms:modified xsi:type="dcterms:W3CDTF">2020-03-11T15:05:00Z</dcterms:modified>
</cp:coreProperties>
</file>