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558" w:rsidRDefault="00552558" w:rsidP="00552558">
      <w:pPr>
        <w:widowControl w:val="0"/>
        <w:jc w:val="center"/>
      </w:pPr>
      <w:r w:rsidRPr="00552558">
        <w:rPr>
          <w:b/>
        </w:rPr>
        <w:t>South Carolina General Assembly</w:t>
      </w:r>
    </w:p>
    <w:p w:rsidR="00552558" w:rsidRDefault="00552558" w:rsidP="00552558">
      <w:pPr>
        <w:widowControl w:val="0"/>
        <w:jc w:val="center"/>
      </w:pPr>
      <w:r>
        <w:t>123rd Session, 2019-2020</w:t>
      </w:r>
    </w:p>
    <w:p w:rsidR="00552558" w:rsidRDefault="00552558" w:rsidP="00552558">
      <w:pPr>
        <w:widowControl w:val="0"/>
        <w:jc w:val="left"/>
      </w:pPr>
    </w:p>
    <w:p w:rsidR="00552558" w:rsidRDefault="00552558" w:rsidP="00552558">
      <w:pPr>
        <w:widowControl w:val="0"/>
        <w:jc w:val="left"/>
        <w:rPr>
          <w:b/>
        </w:rPr>
      </w:pPr>
      <w:r w:rsidRPr="00552558">
        <w:rPr>
          <w:b/>
        </w:rPr>
        <w:t>S.</w:t>
      </w:r>
      <w:r>
        <w:rPr>
          <w:b/>
        </w:rPr>
        <w:t xml:space="preserve"> </w:t>
      </w:r>
      <w:r w:rsidRPr="00552558">
        <w:rPr>
          <w:b/>
        </w:rPr>
        <w:t>866</w:t>
      </w:r>
    </w:p>
    <w:p w:rsidR="00552558" w:rsidRDefault="00552558" w:rsidP="00552558">
      <w:pPr>
        <w:widowControl w:val="0"/>
        <w:jc w:val="left"/>
        <w:rPr>
          <w:b/>
        </w:rPr>
      </w:pPr>
    </w:p>
    <w:p w:rsidR="00552558" w:rsidRDefault="00552558" w:rsidP="00552558">
      <w:pPr>
        <w:widowControl w:val="0"/>
        <w:jc w:val="left"/>
      </w:pPr>
      <w:r w:rsidRPr="00552558">
        <w:rPr>
          <w:b/>
        </w:rPr>
        <w:t>STATUS INFORMATION</w:t>
      </w:r>
    </w:p>
    <w:p w:rsidR="00552558" w:rsidRDefault="00552558" w:rsidP="00552558">
      <w:pPr>
        <w:widowControl w:val="0"/>
        <w:jc w:val="left"/>
      </w:pPr>
    </w:p>
    <w:p w:rsidR="00552558" w:rsidRDefault="00552558" w:rsidP="00552558">
      <w:pPr>
        <w:widowControl w:val="0"/>
        <w:jc w:val="left"/>
      </w:pPr>
      <w:r>
        <w:t>General Bill</w:t>
      </w:r>
    </w:p>
    <w:p w:rsidR="00552558" w:rsidRDefault="00552558" w:rsidP="00552558">
      <w:pPr>
        <w:widowControl w:val="0"/>
        <w:jc w:val="left"/>
      </w:pPr>
      <w:r>
        <w:t>Sponsors: Senator Campsen</w:t>
      </w:r>
    </w:p>
    <w:p w:rsidR="00552558" w:rsidRDefault="00552558" w:rsidP="00552558">
      <w:pPr>
        <w:widowControl w:val="0"/>
        <w:jc w:val="left"/>
      </w:pPr>
      <w:r>
        <w:t>Document Path: l:\council\bills\cc\15649zw20.docx</w:t>
      </w:r>
    </w:p>
    <w:p w:rsidR="00552558" w:rsidRDefault="00552558" w:rsidP="00552558">
      <w:pPr>
        <w:widowControl w:val="0"/>
        <w:jc w:val="left"/>
      </w:pPr>
    </w:p>
    <w:p w:rsidR="004D53EC" w:rsidRDefault="004D53EC" w:rsidP="00552558">
      <w:pPr>
        <w:widowControl w:val="0"/>
        <w:jc w:val="left"/>
      </w:pPr>
      <w:r>
        <w:t>Introduced in the Senate on January 14, 2020</w:t>
      </w:r>
    </w:p>
    <w:p w:rsidR="004D53EC" w:rsidRDefault="004D53EC" w:rsidP="00552558">
      <w:pPr>
        <w:widowControl w:val="0"/>
        <w:jc w:val="left"/>
      </w:pPr>
      <w:r>
        <w:t>Introduced in the House on March 11, 2020</w:t>
      </w:r>
    </w:p>
    <w:p w:rsidR="004D53EC" w:rsidRPr="004D53EC" w:rsidRDefault="004D53EC" w:rsidP="00552558">
      <w:pPr>
        <w:widowControl w:val="0"/>
        <w:jc w:val="left"/>
      </w:pPr>
      <w:r>
        <w:t xml:space="preserve">Currently residing in the House Committee on </w:t>
      </w:r>
      <w:r w:rsidRPr="004D53EC">
        <w:rPr>
          <w:b/>
        </w:rPr>
        <w:t>Judiciary</w:t>
      </w:r>
    </w:p>
    <w:p w:rsidR="004D53EC" w:rsidRDefault="004D53EC" w:rsidP="00552558">
      <w:pPr>
        <w:widowControl w:val="0"/>
        <w:jc w:val="left"/>
      </w:pPr>
    </w:p>
    <w:p w:rsidR="00552558" w:rsidRDefault="00EA44D1" w:rsidP="00552558">
      <w:pPr>
        <w:widowControl w:val="0"/>
        <w:jc w:val="left"/>
      </w:pPr>
      <w:r>
        <w:t>Summary: Municipal elections</w:t>
      </w:r>
    </w:p>
    <w:p w:rsidR="00552558" w:rsidRDefault="00552558" w:rsidP="00552558">
      <w:pPr>
        <w:widowControl w:val="0"/>
        <w:jc w:val="left"/>
      </w:pPr>
    </w:p>
    <w:p w:rsidR="00552558" w:rsidRDefault="00552558" w:rsidP="00552558">
      <w:pPr>
        <w:widowControl w:val="0"/>
        <w:jc w:val="left"/>
      </w:pPr>
    </w:p>
    <w:p w:rsidR="00552558" w:rsidRDefault="00552558" w:rsidP="00552558">
      <w:pPr>
        <w:widowControl w:val="0"/>
        <w:tabs>
          <w:tab w:val="center" w:pos="590"/>
          <w:tab w:val="center" w:pos="1440"/>
          <w:tab w:val="left" w:pos="1872"/>
          <w:tab w:val="left" w:pos="9187"/>
        </w:tabs>
        <w:jc w:val="left"/>
      </w:pPr>
      <w:r w:rsidRPr="00552558">
        <w:rPr>
          <w:b/>
        </w:rPr>
        <w:t>HISTORY OF LEGISLATIVE ACTIONS</w:t>
      </w:r>
    </w:p>
    <w:p w:rsidR="00552558" w:rsidRDefault="00552558" w:rsidP="00552558">
      <w:pPr>
        <w:widowControl w:val="0"/>
        <w:tabs>
          <w:tab w:val="center" w:pos="590"/>
          <w:tab w:val="center" w:pos="1440"/>
          <w:tab w:val="left" w:pos="1872"/>
          <w:tab w:val="left" w:pos="9187"/>
        </w:tabs>
        <w:jc w:val="left"/>
      </w:pPr>
    </w:p>
    <w:p w:rsidR="00552558" w:rsidRPr="00552558" w:rsidRDefault="00552558" w:rsidP="00552558">
      <w:pPr>
        <w:widowControl w:val="0"/>
        <w:tabs>
          <w:tab w:val="center" w:pos="590"/>
          <w:tab w:val="center" w:pos="1440"/>
          <w:tab w:val="left" w:pos="1872"/>
          <w:tab w:val="left" w:pos="9187"/>
        </w:tabs>
        <w:jc w:val="left"/>
      </w:pPr>
      <w:r w:rsidRPr="00552558">
        <w:rPr>
          <w:u w:val="single"/>
        </w:rPr>
        <w:tab/>
        <w:t>Date</w:t>
      </w:r>
      <w:r w:rsidRPr="00552558">
        <w:rPr>
          <w:u w:val="single"/>
        </w:rPr>
        <w:tab/>
        <w:t>Body</w:t>
      </w:r>
      <w:r w:rsidRPr="00552558">
        <w:rPr>
          <w:u w:val="single"/>
        </w:rPr>
        <w:tab/>
        <w:t>Action Description with journal page number</w:t>
      </w:r>
      <w:r w:rsidRPr="00552558">
        <w:rPr>
          <w:u w:val="single"/>
        </w:rPr>
        <w:tab/>
      </w:r>
    </w:p>
    <w:p w:rsidR="00932A25" w:rsidRDefault="00932A25" w:rsidP="00932A25">
      <w:pPr>
        <w:widowControl w:val="0"/>
        <w:tabs>
          <w:tab w:val="right" w:pos="1008"/>
          <w:tab w:val="left" w:pos="1152"/>
          <w:tab w:val="left" w:pos="1872"/>
          <w:tab w:val="left" w:pos="9187"/>
        </w:tabs>
        <w:ind w:left="2088" w:hanging="2088"/>
      </w:pPr>
      <w:r>
        <w:tab/>
        <w:t>12/11/2019</w:t>
      </w:r>
      <w:r>
        <w:tab/>
        <w:t>Senate</w:t>
      </w:r>
      <w:r>
        <w:tab/>
        <w:t>Prefiled</w:t>
      </w:r>
    </w:p>
    <w:p w:rsidR="00932A25" w:rsidRDefault="00932A25" w:rsidP="00932A25">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083B90">
        <w:rPr>
          <w:b/>
        </w:rPr>
        <w:t>Judiciary</w:t>
      </w:r>
    </w:p>
    <w:p w:rsidR="00932A25" w:rsidRDefault="00932A25" w:rsidP="00932A25">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083B90">
          <w:rPr>
            <w:rStyle w:val="Hyperlink"/>
          </w:rPr>
          <w:t>Senate Journal</w:t>
        </w:r>
        <w:r w:rsidRPr="00083B90">
          <w:rPr>
            <w:rStyle w:val="Hyperlink"/>
          </w:rPr>
          <w:noBreakHyphen/>
          <w:t>page 18</w:t>
        </w:r>
      </w:hyperlink>
      <w:r>
        <w:t>)</w:t>
      </w:r>
    </w:p>
    <w:p w:rsidR="00932A25" w:rsidRDefault="00932A25" w:rsidP="00932A25">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083B90">
        <w:rPr>
          <w:b/>
        </w:rPr>
        <w:t>Judiciary</w:t>
      </w:r>
      <w:r>
        <w:t xml:space="preserve"> (</w:t>
      </w:r>
      <w:hyperlink r:id="rId8" w:history="1">
        <w:r w:rsidRPr="00083B90">
          <w:rPr>
            <w:rStyle w:val="Hyperlink"/>
          </w:rPr>
          <w:t>Senate Journal</w:t>
        </w:r>
        <w:r w:rsidRPr="00083B90">
          <w:rPr>
            <w:rStyle w:val="Hyperlink"/>
          </w:rPr>
          <w:noBreakHyphen/>
          <w:t>page 18</w:t>
        </w:r>
      </w:hyperlink>
      <w:r>
        <w:t>)</w:t>
      </w:r>
    </w:p>
    <w:p w:rsidR="00932A25" w:rsidRDefault="00932A25" w:rsidP="00932A25">
      <w:pPr>
        <w:widowControl w:val="0"/>
        <w:tabs>
          <w:tab w:val="right" w:pos="1008"/>
          <w:tab w:val="left" w:pos="1152"/>
          <w:tab w:val="left" w:pos="1872"/>
          <w:tab w:val="left" w:pos="9187"/>
        </w:tabs>
        <w:ind w:left="2088" w:hanging="2088"/>
      </w:pPr>
      <w:r>
        <w:tab/>
        <w:t>1/17/2020</w:t>
      </w:r>
      <w:r>
        <w:tab/>
        <w:t>Senate</w:t>
      </w:r>
      <w:r>
        <w:tab/>
        <w:t>Referred to Subcommittee:  Campsen (ch), Massey, McElveen, M.B.Matthews, Gambrell</w:t>
      </w:r>
    </w:p>
    <w:p w:rsidR="00932A25" w:rsidRDefault="00932A25" w:rsidP="00932A25">
      <w:pPr>
        <w:widowControl w:val="0"/>
        <w:tabs>
          <w:tab w:val="right" w:pos="1008"/>
          <w:tab w:val="left" w:pos="1152"/>
          <w:tab w:val="left" w:pos="1872"/>
          <w:tab w:val="left" w:pos="9187"/>
        </w:tabs>
        <w:ind w:left="2088" w:hanging="2088"/>
      </w:pPr>
      <w:r>
        <w:tab/>
        <w:t>1/29/2020</w:t>
      </w:r>
      <w:r>
        <w:tab/>
        <w:t>Senate</w:t>
      </w:r>
      <w:r>
        <w:tab/>
        <w:t xml:space="preserve">Committee report: Favorable </w:t>
      </w:r>
      <w:r w:rsidRPr="00083B90">
        <w:rPr>
          <w:b/>
        </w:rPr>
        <w:t>Judiciary</w:t>
      </w:r>
      <w:r>
        <w:t xml:space="preserve"> (</w:t>
      </w:r>
      <w:hyperlink r:id="rId9" w:history="1">
        <w:r w:rsidRPr="00083B90">
          <w:rPr>
            <w:rStyle w:val="Hyperlink"/>
          </w:rPr>
          <w:t>Senate Journal</w:t>
        </w:r>
        <w:r w:rsidRPr="00083B90">
          <w:rPr>
            <w:rStyle w:val="Hyperlink"/>
          </w:rPr>
          <w:noBreakHyphen/>
          <w:t>page 6</w:t>
        </w:r>
      </w:hyperlink>
      <w:r>
        <w:t>)</w:t>
      </w:r>
    </w:p>
    <w:p w:rsidR="00932A25" w:rsidRDefault="00932A25" w:rsidP="00932A25">
      <w:pPr>
        <w:widowControl w:val="0"/>
        <w:tabs>
          <w:tab w:val="right" w:pos="1008"/>
          <w:tab w:val="left" w:pos="1152"/>
          <w:tab w:val="left" w:pos="1872"/>
          <w:tab w:val="left" w:pos="9187"/>
        </w:tabs>
        <w:ind w:left="2088" w:hanging="2088"/>
      </w:pPr>
      <w:r>
        <w:tab/>
        <w:t>3/4/2020</w:t>
      </w:r>
      <w:r>
        <w:tab/>
        <w:t>Senate</w:t>
      </w:r>
      <w:r>
        <w:tab/>
        <w:t>Read second time (</w:t>
      </w:r>
      <w:hyperlink r:id="rId10" w:history="1">
        <w:r w:rsidRPr="00083B90">
          <w:rPr>
            <w:rStyle w:val="Hyperlink"/>
          </w:rPr>
          <w:t>Senate Journal</w:t>
        </w:r>
        <w:r w:rsidRPr="00083B90">
          <w:rPr>
            <w:rStyle w:val="Hyperlink"/>
          </w:rPr>
          <w:noBreakHyphen/>
          <w:t>page 69</w:t>
        </w:r>
      </w:hyperlink>
      <w:r>
        <w:t>)</w:t>
      </w:r>
    </w:p>
    <w:p w:rsidR="00932A25" w:rsidRDefault="00932A25" w:rsidP="00932A25">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1" w:history="1">
        <w:r w:rsidRPr="00083B90">
          <w:rPr>
            <w:rStyle w:val="Hyperlink"/>
          </w:rPr>
          <w:t>Senate Journal</w:t>
        </w:r>
        <w:r w:rsidRPr="00083B90">
          <w:rPr>
            <w:rStyle w:val="Hyperlink"/>
          </w:rPr>
          <w:noBreakHyphen/>
          <w:t>page 69</w:t>
        </w:r>
      </w:hyperlink>
      <w:r>
        <w:t>)</w:t>
      </w:r>
    </w:p>
    <w:p w:rsidR="00932A25" w:rsidRDefault="00932A25" w:rsidP="00932A25">
      <w:pPr>
        <w:widowControl w:val="0"/>
        <w:tabs>
          <w:tab w:val="right" w:pos="1008"/>
          <w:tab w:val="left" w:pos="1152"/>
          <w:tab w:val="left" w:pos="1872"/>
          <w:tab w:val="left" w:pos="9187"/>
        </w:tabs>
        <w:ind w:left="2088" w:hanging="2088"/>
      </w:pPr>
      <w:r>
        <w:tab/>
        <w:t>3/10/2020</w:t>
      </w:r>
      <w:r>
        <w:tab/>
        <w:t>Senate</w:t>
      </w:r>
      <w:r>
        <w:tab/>
        <w:t>Read third time and sent to House (</w:t>
      </w:r>
      <w:hyperlink r:id="rId12" w:history="1">
        <w:r w:rsidRPr="00083B90">
          <w:rPr>
            <w:rStyle w:val="Hyperlink"/>
          </w:rPr>
          <w:t>Senate Journal</w:t>
        </w:r>
        <w:r w:rsidRPr="00083B90">
          <w:rPr>
            <w:rStyle w:val="Hyperlink"/>
          </w:rPr>
          <w:noBreakHyphen/>
          <w:t>page 23</w:t>
        </w:r>
      </w:hyperlink>
      <w:r>
        <w:t>)</w:t>
      </w:r>
    </w:p>
    <w:p w:rsidR="00932A25" w:rsidRDefault="00932A25" w:rsidP="00932A25">
      <w:pPr>
        <w:widowControl w:val="0"/>
        <w:tabs>
          <w:tab w:val="right" w:pos="1008"/>
          <w:tab w:val="left" w:pos="1152"/>
          <w:tab w:val="left" w:pos="1872"/>
          <w:tab w:val="left" w:pos="9187"/>
        </w:tabs>
        <w:ind w:left="2088" w:hanging="2088"/>
      </w:pPr>
      <w:r>
        <w:tab/>
        <w:t>3/11/2020</w:t>
      </w:r>
      <w:r>
        <w:tab/>
        <w:t>House</w:t>
      </w:r>
      <w:r>
        <w:tab/>
        <w:t>Introduced and read first time (</w:t>
      </w:r>
      <w:hyperlink r:id="rId13" w:history="1">
        <w:r w:rsidRPr="00083B90">
          <w:rPr>
            <w:rStyle w:val="Hyperlink"/>
          </w:rPr>
          <w:t>House Journal</w:t>
        </w:r>
        <w:r w:rsidRPr="00083B90">
          <w:rPr>
            <w:rStyle w:val="Hyperlink"/>
          </w:rPr>
          <w:noBreakHyphen/>
          <w:t>page 43</w:t>
        </w:r>
      </w:hyperlink>
      <w:r>
        <w:t>)</w:t>
      </w:r>
    </w:p>
    <w:p w:rsidR="00932A25" w:rsidRDefault="00932A25" w:rsidP="00932A25">
      <w:pPr>
        <w:widowControl w:val="0"/>
        <w:tabs>
          <w:tab w:val="right" w:pos="1008"/>
          <w:tab w:val="left" w:pos="1152"/>
          <w:tab w:val="left" w:pos="1872"/>
          <w:tab w:val="left" w:pos="9187"/>
        </w:tabs>
        <w:ind w:left="2088" w:hanging="2088"/>
      </w:pPr>
      <w:r>
        <w:tab/>
        <w:t>3/11/2020</w:t>
      </w:r>
      <w:r>
        <w:tab/>
        <w:t>House</w:t>
      </w:r>
      <w:r>
        <w:tab/>
        <w:t xml:space="preserve">Referred to Committee on </w:t>
      </w:r>
      <w:r w:rsidRPr="00083B90">
        <w:rPr>
          <w:b/>
        </w:rPr>
        <w:t>Judiciary</w:t>
      </w:r>
      <w:r>
        <w:t xml:space="preserve"> (</w:t>
      </w:r>
      <w:hyperlink r:id="rId14" w:history="1">
        <w:r w:rsidRPr="00083B90">
          <w:rPr>
            <w:rStyle w:val="Hyperlink"/>
          </w:rPr>
          <w:t>House Journal</w:t>
        </w:r>
        <w:r w:rsidRPr="00083B90">
          <w:rPr>
            <w:rStyle w:val="Hyperlink"/>
          </w:rPr>
          <w:noBreakHyphen/>
          <w:t>page 43</w:t>
        </w:r>
      </w:hyperlink>
      <w:r>
        <w:t>)</w:t>
      </w:r>
    </w:p>
    <w:p w:rsidR="00932A25" w:rsidRDefault="00932A25" w:rsidP="00932A25">
      <w:pPr>
        <w:widowControl w:val="0"/>
        <w:tabs>
          <w:tab w:val="right" w:pos="1008"/>
          <w:tab w:val="left" w:pos="1152"/>
          <w:tab w:val="left" w:pos="1872"/>
          <w:tab w:val="left" w:pos="9187"/>
        </w:tabs>
        <w:ind w:left="2088" w:hanging="2088"/>
      </w:pPr>
    </w:p>
    <w:p w:rsidR="00552558" w:rsidRDefault="00552558" w:rsidP="005525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52558">
          <w:rPr>
            <w:rStyle w:val="Hyperlink"/>
          </w:rPr>
          <w:t>legislative information</w:t>
        </w:r>
      </w:hyperlink>
      <w:r>
        <w:t xml:space="preserve"> at the website</w:t>
      </w:r>
    </w:p>
    <w:p w:rsidR="00552558" w:rsidRDefault="00552558" w:rsidP="00552558">
      <w:pPr>
        <w:widowControl w:val="0"/>
        <w:tabs>
          <w:tab w:val="right" w:pos="1008"/>
          <w:tab w:val="left" w:pos="1152"/>
          <w:tab w:val="left" w:pos="1872"/>
          <w:tab w:val="left" w:pos="9187"/>
        </w:tabs>
        <w:ind w:left="2088" w:hanging="2088"/>
        <w:jc w:val="left"/>
      </w:pPr>
    </w:p>
    <w:p w:rsidR="00552558" w:rsidRPr="00552558" w:rsidRDefault="00552558" w:rsidP="00552558">
      <w:pPr>
        <w:widowControl w:val="0"/>
        <w:tabs>
          <w:tab w:val="right" w:pos="1008"/>
          <w:tab w:val="left" w:pos="1152"/>
          <w:tab w:val="left" w:pos="1872"/>
          <w:tab w:val="left" w:pos="9187"/>
        </w:tabs>
        <w:ind w:left="2088" w:hanging="2088"/>
        <w:jc w:val="left"/>
      </w:pPr>
    </w:p>
    <w:p w:rsidR="00552558" w:rsidRDefault="00552558" w:rsidP="00552558">
      <w:pPr>
        <w:widowControl w:val="0"/>
        <w:jc w:val="left"/>
      </w:pPr>
      <w:r w:rsidRPr="00552558">
        <w:rPr>
          <w:b/>
        </w:rPr>
        <w:t>VERSIONS OF THIS BILL</w:t>
      </w:r>
    </w:p>
    <w:p w:rsidR="00552558" w:rsidRDefault="00552558" w:rsidP="00552558">
      <w:pPr>
        <w:widowControl w:val="0"/>
        <w:jc w:val="left"/>
      </w:pPr>
    </w:p>
    <w:p w:rsidR="00552558" w:rsidRDefault="00493642" w:rsidP="00552558">
      <w:pPr>
        <w:widowControl w:val="0"/>
        <w:jc w:val="left"/>
      </w:pPr>
      <w:hyperlink r:id="rId16" w:history="1">
        <w:r w:rsidR="00552558">
          <w:rPr>
            <w:rStyle w:val="Hyperlink"/>
          </w:rPr>
          <w:t>12/11/2019</w:t>
        </w:r>
      </w:hyperlink>
    </w:p>
    <w:p w:rsidR="00552558" w:rsidRDefault="00493642" w:rsidP="00552558">
      <w:hyperlink r:id="rId17" w:history="1">
        <w:r w:rsidR="00B22AA4" w:rsidRPr="00B22AA4">
          <w:rPr>
            <w:rStyle w:val="Hyperlink"/>
          </w:rPr>
          <w:t>1/29/2020</w:t>
        </w:r>
      </w:hyperlink>
    </w:p>
    <w:p w:rsidR="00B22AA4" w:rsidRDefault="00B22AA4" w:rsidP="00552558"/>
    <w:p w:rsidR="00552558" w:rsidRDefault="00552558" w:rsidP="00552558">
      <w:pPr>
        <w:sectPr w:rsidR="00552558" w:rsidSect="00552558">
          <w:pgSz w:w="12240" w:h="15840" w:code="1"/>
          <w:pgMar w:top="1080" w:right="1440" w:bottom="1080" w:left="1440" w:header="720" w:footer="720" w:gutter="0"/>
          <w:cols w:space="720"/>
          <w:noEndnote/>
          <w:docGrid w:linePitch="360"/>
        </w:sectPr>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22AA4" w:rsidRPr="00DD5FCE"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Pr="00DD5FCE" w:rsidRDefault="00B22AA4" w:rsidP="00DD5FCE">
      <w:pPr>
        <w:tabs>
          <w:tab w:val="right" w:pos="5933"/>
        </w:tabs>
        <w:suppressAutoHyphens/>
      </w:pPr>
      <w:r>
        <w:tab/>
      </w:r>
      <w:r>
        <w:rPr>
          <w:b/>
          <w:sz w:val="36"/>
        </w:rPr>
        <w:t>S. 866</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7208F">
        <w:t>Senator Campsen</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1/29/20--S.</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B22AA4" w:rsidRPr="00DD5FCE" w:rsidRDefault="00B22AA4"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Pr="00DD5FCE" w:rsidRDefault="00B22AA4"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866) to amend Section 5</w:t>
      </w:r>
      <w:r>
        <w:noBreakHyphen/>
        <w:t>15</w:t>
      </w:r>
      <w:r>
        <w:noBreakHyphen/>
        <w:t>130, Code of Laws of South Carolina, 1976, relating to the procedures for contesting the results of municipal elections, etc., respectfully</w:t>
      </w:r>
    </w:p>
    <w:p w:rsidR="00B22AA4" w:rsidRPr="00DD5FCE" w:rsidRDefault="00B22AA4"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B22AA4" w:rsidRPr="00DD5FCE" w:rsidRDefault="00B22AA4"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Pr="00DD5FCE" w:rsidRDefault="00B22AA4"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2AA4" w:rsidRPr="00B64EE5" w:rsidRDefault="00B22AA4" w:rsidP="00DD5FCE">
      <w:pPr>
        <w:rPr>
          <w:b/>
        </w:rPr>
      </w:pPr>
      <w:r w:rsidRPr="00B64EE5">
        <w:rPr>
          <w:b/>
        </w:rPr>
        <w:t>Explanation of Fiscal Impact</w:t>
      </w:r>
    </w:p>
    <w:p w:rsidR="00B22AA4" w:rsidRPr="00B64EE5" w:rsidRDefault="00B22AA4" w:rsidP="00DD5FCE">
      <w:pPr>
        <w:rPr>
          <w:b/>
        </w:rPr>
      </w:pPr>
      <w:r w:rsidRPr="00B64EE5">
        <w:rPr>
          <w:b/>
        </w:rPr>
        <w:t>Introduced on January 14, 2020</w:t>
      </w:r>
    </w:p>
    <w:p w:rsidR="00B22AA4" w:rsidRPr="00B64EE5" w:rsidRDefault="00B22AA4" w:rsidP="00DD5FCE">
      <w:r w:rsidRPr="00B64EE5">
        <w:rPr>
          <w:b/>
        </w:rPr>
        <w:t>State Expenditure</w:t>
      </w:r>
    </w:p>
    <w:p w:rsidR="00B22AA4" w:rsidRPr="00B64EE5" w:rsidRDefault="00B22AA4" w:rsidP="00DD5F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E5">
        <w:rPr>
          <w:sz w:val="22"/>
        </w:rPr>
        <w:t xml:space="preserve">This bill adds county boards of voter registration and elections as an appropriate authority that may receive and conduct a hearing on a contest of an election by any candidate, if the municipality has transferred the authority to conduct its election, in accordance with §5-15-145, to the county board of voter registration and elections.  The State Election Commission does not reimburse counties for these proceedings and therefore, will have no expenditure impact due to this bill.  </w:t>
      </w:r>
    </w:p>
    <w:p w:rsidR="00B22AA4" w:rsidRPr="00B64EE5" w:rsidRDefault="00B22AA4" w:rsidP="00DD5FCE">
      <w:pPr>
        <w:rPr>
          <w:b/>
        </w:rPr>
      </w:pPr>
      <w:r w:rsidRPr="00B64EE5">
        <w:rPr>
          <w:b/>
        </w:rPr>
        <w:t>Local Expenditure</w:t>
      </w:r>
    </w:p>
    <w:p w:rsidR="00B22AA4" w:rsidRPr="00B64EE5" w:rsidRDefault="00B22AA4" w:rsidP="00DD5F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1" w:name="_Hlk30601742"/>
      <w:r>
        <w:rPr>
          <w:sz w:val="22"/>
        </w:rPr>
        <w:tab/>
      </w:r>
      <w:r w:rsidRPr="00B64EE5">
        <w:rPr>
          <w:sz w:val="22"/>
        </w:rPr>
        <w:t xml:space="preserve">This bill adds county boards of voter registration and elections as an appropriate authority that may receive and conduct a hearing on a contest of an election by any candidate, if the municipality has transferred the authority to conduct its election, in accordance with </w:t>
      </w:r>
      <w:r w:rsidRPr="00B64EE5">
        <w:rPr>
          <w:sz w:val="22"/>
        </w:rPr>
        <w:lastRenderedPageBreak/>
        <w:t xml:space="preserve">§5-15-145, to the county board of voter registration and elections.  </w:t>
      </w:r>
      <w:bookmarkEnd w:id="1"/>
      <w:r w:rsidRPr="00B64EE5">
        <w:rPr>
          <w:sz w:val="22"/>
        </w:rPr>
        <w:t xml:space="preserve">Currently, only municipal election commissions have the authority to receive and conduct hearings on a contest of an election.  This may result in a shift of expenditures between the local entities.  However, there is no expectation of an increase in the number of contests of elections, therefore, there will be no increase to local expenditures.  </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2AA4" w:rsidRPr="00DD5FCE"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2AA4" w:rsidSect="00DD5FC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Pr="00325348" w:rsidRDefault="00B22AA4" w:rsidP="00D60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B22AA4" w:rsidRDefault="00B22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w:t>
      </w:r>
      <w:r w:rsidRPr="00EA20A8">
        <w:t xml:space="preserve">SECTION </w:t>
      </w:r>
      <w:r>
        <w:t>5</w:t>
      </w:r>
      <w:r>
        <w:noBreakHyphen/>
        <w:t>15</w:t>
      </w:r>
      <w:r>
        <w:noBreakHyphen/>
        <w:t xml:space="preserve">130, CODE OF LAWS OF SOUTH CAROLINA, 1976, RELATING TO THE PROCEDURES FOR CONTESTING THE RESULTS OF MUNICIPAL ELECTIONS, SO AS TO ALLOW THE COUNTY BOARDS OF VOTER REGISTRATION AND ELECTIONS TO SERVE AS APPROPRIATE ELECTION AUTHORITIES FOR PURPOSES OF INITIATING OR HEARING MUNICIPAL ELECTION CONTESTS; AND TO AMEND </w:t>
      </w:r>
      <w:r w:rsidRPr="00EA20A8">
        <w:t xml:space="preserve">SECTION </w:t>
      </w:r>
      <w:r>
        <w:t>5</w:t>
      </w:r>
      <w:r>
        <w:noBreakHyphen/>
      </w:r>
      <w:r w:rsidRPr="00EA20A8">
        <w:t>15</w:t>
      </w:r>
      <w:r>
        <w:noBreakHyphen/>
        <w:t>1</w:t>
      </w:r>
      <w:r w:rsidRPr="00EA20A8">
        <w:t>4</w:t>
      </w:r>
      <w:r>
        <w:t xml:space="preserve">5, </w:t>
      </w:r>
      <w:r w:rsidRPr="00D54439">
        <w:t>RELATING TO THE TRANSFER OF AUTHORITY TO CONDUCT MUNICIPAL ELECTIONS TO COUNTY ELECTION COMMISSIONS,</w:t>
      </w:r>
      <w:r>
        <w:t xml:space="preserve"> SO AS TO UPDATE REFERENCES TO COUNTY BOARDS OF VOTER REGISTRATION AND ELECTIONS.</w:t>
      </w:r>
    </w:p>
    <w:p w:rsidR="00B22AA4" w:rsidRDefault="00B22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22AA4" w:rsidRDefault="00B22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AA4" w:rsidRDefault="00B22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DE3A47">
        <w:rPr>
          <w:u w:color="000000" w:themeColor="text1"/>
        </w:rPr>
        <w:t xml:space="preserve">Section </w:t>
      </w:r>
      <w:r>
        <w:rPr>
          <w:u w:color="000000" w:themeColor="text1"/>
        </w:rPr>
        <w:t>5</w:t>
      </w:r>
      <w:r>
        <w:rPr>
          <w:u w:color="000000" w:themeColor="text1"/>
        </w:rPr>
        <w:noBreakHyphen/>
      </w:r>
      <w:r w:rsidRPr="00DE3A47">
        <w:rPr>
          <w:u w:color="000000" w:themeColor="text1"/>
        </w:rPr>
        <w:t>1</w:t>
      </w:r>
      <w:r>
        <w:rPr>
          <w:u w:color="000000" w:themeColor="text1"/>
        </w:rPr>
        <w:t>5</w:t>
      </w:r>
      <w:r>
        <w:rPr>
          <w:u w:color="000000" w:themeColor="text1"/>
        </w:rPr>
        <w:noBreakHyphen/>
        <w:t>1</w:t>
      </w:r>
      <w:r w:rsidRPr="00DE3A47">
        <w:rPr>
          <w:u w:color="000000" w:themeColor="text1"/>
        </w:rPr>
        <w:t>3</w:t>
      </w:r>
      <w:r>
        <w:rPr>
          <w:u w:color="000000" w:themeColor="text1"/>
        </w:rPr>
        <w:t>0</w:t>
      </w:r>
      <w:r w:rsidRPr="00DE3A47">
        <w:rPr>
          <w:u w:color="000000" w:themeColor="text1"/>
        </w:rPr>
        <w:t xml:space="preserve"> of the 1976 Code</w:t>
      </w:r>
      <w:r>
        <w:rPr>
          <w:u w:color="000000" w:themeColor="text1"/>
        </w:rPr>
        <w:t xml:space="preserve"> </w:t>
      </w:r>
      <w:r w:rsidRPr="00DE3A47">
        <w:rPr>
          <w:u w:color="000000" w:themeColor="text1"/>
        </w:rPr>
        <w:t>is amended to read:</w:t>
      </w:r>
    </w:p>
    <w:p w:rsidR="00B22AA4" w:rsidRPr="00DE3A47"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AA4" w:rsidRPr="00996C99"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5</w:t>
      </w:r>
      <w:r>
        <w:rPr>
          <w:u w:color="000000" w:themeColor="text1"/>
        </w:rPr>
        <w:noBreakHyphen/>
        <w:t>15</w:t>
      </w:r>
      <w:r>
        <w:rPr>
          <w:u w:color="000000" w:themeColor="text1"/>
        </w:rPr>
        <w:noBreakHyphen/>
        <w:t>130.</w:t>
      </w:r>
      <w:r>
        <w:rPr>
          <w:u w:color="000000" w:themeColor="text1"/>
        </w:rPr>
        <w:tab/>
      </w:r>
      <w:r w:rsidRPr="00996C99">
        <w:rPr>
          <w:rFonts w:eastAsia="Calibri"/>
          <w:szCs w:val="22"/>
          <w:u w:val="single"/>
        </w:rPr>
        <w:t>(A)</w:t>
      </w:r>
      <w:r>
        <w:rPr>
          <w:rFonts w:eastAsia="Calibri"/>
          <w:szCs w:val="22"/>
        </w:rPr>
        <w:tab/>
      </w:r>
      <w:r w:rsidRPr="00996C99">
        <w:rPr>
          <w:rFonts w:eastAsia="Calibri"/>
          <w:strike/>
          <w:szCs w:val="22"/>
        </w:rPr>
        <w:t>Within forty</w:t>
      </w:r>
      <w:r>
        <w:rPr>
          <w:rFonts w:eastAsia="Calibri"/>
          <w:strike/>
          <w:szCs w:val="22"/>
        </w:rPr>
        <w:noBreakHyphen/>
      </w:r>
      <w:r w:rsidRPr="00996C99">
        <w:rPr>
          <w:rFonts w:eastAsia="Calibri"/>
          <w:strike/>
          <w:szCs w:val="22"/>
        </w:rPr>
        <w:t>eight hours after the closing of the polls,</w:t>
      </w:r>
      <w:r w:rsidRPr="00996C99">
        <w:rPr>
          <w:rFonts w:eastAsia="Calibri"/>
          <w:szCs w:val="22"/>
        </w:rPr>
        <w:t xml:space="preserve"> </w:t>
      </w:r>
      <w:r>
        <w:rPr>
          <w:rFonts w:eastAsia="Calibri"/>
          <w:szCs w:val="22"/>
        </w:rPr>
        <w:t>A</w:t>
      </w:r>
      <w:r w:rsidRPr="00996C99">
        <w:rPr>
          <w:rFonts w:eastAsia="Calibri"/>
          <w:szCs w:val="22"/>
        </w:rPr>
        <w:t xml:space="preserve">ny candidate may contest the result of the election </w:t>
      </w:r>
      <w:r w:rsidRPr="00996C99">
        <w:rPr>
          <w:rFonts w:eastAsia="Calibri"/>
          <w:strike/>
          <w:szCs w:val="22"/>
        </w:rPr>
        <w:t>as reported by the managers</w:t>
      </w:r>
      <w:r w:rsidRPr="00996C99">
        <w:rPr>
          <w:rFonts w:eastAsia="Calibri"/>
          <w:szCs w:val="22"/>
        </w:rPr>
        <w:t xml:space="preserve"> by filing a written notice of such contest together with a concise statement of the grounds therefor with the </w:t>
      </w:r>
      <w:r w:rsidRPr="00996C99">
        <w:rPr>
          <w:rFonts w:eastAsia="Calibri"/>
          <w:strike/>
          <w:szCs w:val="22"/>
        </w:rPr>
        <w:t>Municipal Election Commission</w:t>
      </w:r>
      <w:r>
        <w:rPr>
          <w:rFonts w:eastAsia="Calibri"/>
          <w:szCs w:val="22"/>
        </w:rPr>
        <w:t xml:space="preserve"> </w:t>
      </w:r>
      <w:r w:rsidRPr="00996C99">
        <w:rPr>
          <w:rFonts w:eastAsia="Calibri"/>
          <w:szCs w:val="22"/>
          <w:u w:val="single"/>
        </w:rPr>
        <w:t>appropriate election authority by noon Wednesday following the day of the declaration by the authority of the result of the election</w:t>
      </w:r>
      <w:r w:rsidRPr="00996C99">
        <w:rPr>
          <w:rFonts w:eastAsia="Calibri"/>
          <w:szCs w:val="22"/>
        </w:rPr>
        <w:t xml:space="preserve">. </w:t>
      </w:r>
      <w:r w:rsidRPr="00FF6288">
        <w:rPr>
          <w:rFonts w:eastAsia="Calibri"/>
          <w:strike/>
          <w:szCs w:val="22"/>
        </w:rPr>
        <w:t>Within forty</w:t>
      </w:r>
      <w:r>
        <w:rPr>
          <w:rFonts w:eastAsia="Calibri"/>
          <w:strike/>
          <w:szCs w:val="22"/>
        </w:rPr>
        <w:noBreakHyphen/>
      </w:r>
      <w:r w:rsidRPr="00FF6288">
        <w:rPr>
          <w:rFonts w:eastAsia="Calibri"/>
          <w:strike/>
          <w:szCs w:val="22"/>
        </w:rPr>
        <w:t>eight hours after the filing of such notice,</w:t>
      </w:r>
      <w:r w:rsidRPr="00996C99">
        <w:rPr>
          <w:rFonts w:eastAsia="Calibri"/>
          <w:szCs w:val="22"/>
        </w:rPr>
        <w:t xml:space="preserve"> </w:t>
      </w:r>
      <w:r>
        <w:rPr>
          <w:rFonts w:eastAsia="Calibri"/>
          <w:szCs w:val="22"/>
        </w:rPr>
        <w:t>T</w:t>
      </w:r>
      <w:r w:rsidRPr="00996C99">
        <w:rPr>
          <w:rFonts w:eastAsia="Calibri"/>
          <w:szCs w:val="22"/>
        </w:rPr>
        <w:t xml:space="preserve">he </w:t>
      </w:r>
      <w:r w:rsidRPr="00FF6288">
        <w:rPr>
          <w:rFonts w:eastAsia="Calibri"/>
          <w:strike/>
          <w:szCs w:val="22"/>
        </w:rPr>
        <w:t>Municipal Election Commission</w:t>
      </w:r>
      <w:r w:rsidRPr="00996C99">
        <w:rPr>
          <w:rFonts w:eastAsia="Calibri"/>
          <w:szCs w:val="22"/>
        </w:rPr>
        <w:t xml:space="preserve"> </w:t>
      </w:r>
      <w:r w:rsidRPr="00642A97">
        <w:rPr>
          <w:rFonts w:eastAsia="Calibri"/>
          <w:szCs w:val="22"/>
          <w:u w:val="single"/>
        </w:rPr>
        <w:t>authority</w:t>
      </w:r>
      <w:r>
        <w:rPr>
          <w:rFonts w:eastAsia="Calibri"/>
          <w:szCs w:val="22"/>
        </w:rPr>
        <w:t xml:space="preserve"> </w:t>
      </w:r>
      <w:r w:rsidRPr="00996C99">
        <w:rPr>
          <w:rFonts w:eastAsia="Calibri"/>
          <w:szCs w:val="22"/>
        </w:rPr>
        <w:t>shall, after due notice to the parties concerned, conduct a hearing on the contest</w:t>
      </w:r>
      <w:r>
        <w:rPr>
          <w:rFonts w:eastAsia="Calibri"/>
          <w:szCs w:val="22"/>
        </w:rPr>
        <w:t xml:space="preserve"> </w:t>
      </w:r>
      <w:r w:rsidRPr="00FF6288">
        <w:rPr>
          <w:rFonts w:eastAsia="Calibri"/>
          <w:szCs w:val="22"/>
          <w:u w:val="single"/>
        </w:rPr>
        <w:t>on the Monday following the deadline for filing the contest</w:t>
      </w:r>
      <w:r w:rsidRPr="00996C99">
        <w:rPr>
          <w:rFonts w:eastAsia="Calibri"/>
          <w:szCs w:val="22"/>
        </w:rPr>
        <w:t>, decide the issues raised, file its report together with all recorded testimony and exhibits with the clerk of court of the county in which the municipality is situated, notify the parties concerned of the decisions made, and when the decision invalidates the election the council shall order a new election as to the parties concerned.</w:t>
      </w: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96C99">
        <w:rPr>
          <w:rFonts w:eastAsia="Calibri"/>
          <w:szCs w:val="22"/>
        </w:rPr>
        <w:tab/>
      </w:r>
      <w:r w:rsidRPr="00996C99">
        <w:rPr>
          <w:rFonts w:eastAsia="Calibri"/>
          <w:szCs w:val="22"/>
          <w:u w:val="single"/>
        </w:rPr>
        <w:t>(B)</w:t>
      </w:r>
      <w:r>
        <w:rPr>
          <w:rFonts w:eastAsia="Calibri"/>
          <w:szCs w:val="22"/>
        </w:rPr>
        <w:tab/>
      </w:r>
      <w:r w:rsidRPr="00996C99">
        <w:rPr>
          <w:rFonts w:eastAsia="Calibri"/>
          <w:szCs w:val="22"/>
        </w:rPr>
        <w:t>Neither the mayor nor any member of council shall be eligible to pass on the issues arising in any contest in which he is a party.</w:t>
      </w:r>
    </w:p>
    <w:p w:rsidR="00B22AA4" w:rsidRPr="00996C99"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96C99">
        <w:rPr>
          <w:rFonts w:eastAsia="Calibri"/>
          <w:szCs w:val="22"/>
          <w:u w:val="single"/>
        </w:rPr>
        <w:t>(C)</w:t>
      </w:r>
      <w:r w:rsidRPr="00996C99">
        <w:rPr>
          <w:rFonts w:eastAsia="Calibri"/>
          <w:szCs w:val="22"/>
        </w:rPr>
        <w:tab/>
      </w:r>
      <w:r w:rsidRPr="00996C99">
        <w:rPr>
          <w:rFonts w:eastAsia="Calibri"/>
          <w:szCs w:val="22"/>
          <w:u w:val="single"/>
        </w:rPr>
        <w:t xml:space="preserve">For purposes of this section, </w:t>
      </w:r>
      <w:r w:rsidRPr="00A912F4">
        <w:rPr>
          <w:rFonts w:eastAsia="Calibri"/>
          <w:szCs w:val="22"/>
          <w:u w:val="single"/>
        </w:rPr>
        <w:t>‘</w:t>
      </w:r>
      <w:r w:rsidRPr="00996C99">
        <w:rPr>
          <w:rFonts w:eastAsia="Calibri"/>
          <w:szCs w:val="22"/>
          <w:u w:val="single"/>
        </w:rPr>
        <w:t>appropriate election authority</w:t>
      </w:r>
      <w:r w:rsidRPr="00A912F4">
        <w:rPr>
          <w:rFonts w:eastAsia="Calibri"/>
          <w:szCs w:val="22"/>
          <w:u w:val="single"/>
        </w:rPr>
        <w:t>’</w:t>
      </w:r>
      <w:r w:rsidRPr="00996C99">
        <w:rPr>
          <w:rFonts w:eastAsia="Calibri"/>
          <w:szCs w:val="22"/>
          <w:u w:val="single"/>
        </w:rPr>
        <w:t xml:space="preserve"> means the municipal election commission or the county board of voter registration and elections if the municipality has transferred the authority to conduct its election in accordance with Section 5</w:t>
      </w:r>
      <w:r>
        <w:rPr>
          <w:rFonts w:eastAsia="Calibri"/>
          <w:szCs w:val="22"/>
          <w:u w:val="single"/>
        </w:rPr>
        <w:noBreakHyphen/>
      </w:r>
      <w:r w:rsidRPr="00996C99">
        <w:rPr>
          <w:rFonts w:eastAsia="Calibri"/>
          <w:szCs w:val="22"/>
          <w:u w:val="single"/>
        </w:rPr>
        <w:t>15</w:t>
      </w:r>
      <w:r>
        <w:rPr>
          <w:rFonts w:eastAsia="Calibri"/>
          <w:szCs w:val="22"/>
          <w:u w:val="single"/>
        </w:rPr>
        <w:noBreakHyphen/>
      </w:r>
      <w:r w:rsidRPr="00996C99">
        <w:rPr>
          <w:rFonts w:eastAsia="Calibri"/>
          <w:szCs w:val="22"/>
          <w:u w:val="single"/>
        </w:rPr>
        <w:t>145.</w:t>
      </w:r>
      <w:r>
        <w:rPr>
          <w:rFonts w:eastAsia="Calibri"/>
          <w:szCs w:val="22"/>
        </w:rPr>
        <w:t>”</w:t>
      </w: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 xml:space="preserve">Section </w:t>
      </w:r>
      <w:r>
        <w:rPr>
          <w:u w:color="000000" w:themeColor="text1"/>
        </w:rPr>
        <w:t>5</w:t>
      </w:r>
      <w:r>
        <w:rPr>
          <w:u w:color="000000" w:themeColor="text1"/>
        </w:rPr>
        <w:noBreakHyphen/>
      </w:r>
      <w:r w:rsidRPr="00DE3A47">
        <w:rPr>
          <w:u w:color="000000" w:themeColor="text1"/>
        </w:rPr>
        <w:t>15</w:t>
      </w:r>
      <w:r>
        <w:rPr>
          <w:u w:color="000000" w:themeColor="text1"/>
        </w:rPr>
        <w:noBreakHyphen/>
        <w:t>145</w:t>
      </w:r>
      <w:r w:rsidRPr="00DE3A47">
        <w:rPr>
          <w:u w:color="000000" w:themeColor="text1"/>
        </w:rPr>
        <w:t xml:space="preserve"> of the 1976 Code</w:t>
      </w:r>
      <w:r>
        <w:rPr>
          <w:u w:color="000000" w:themeColor="text1"/>
        </w:rPr>
        <w:t xml:space="preserve"> </w:t>
      </w:r>
      <w:r w:rsidRPr="00DE3A47">
        <w:rPr>
          <w:u w:color="000000" w:themeColor="text1"/>
        </w:rPr>
        <w:t>is amended to read:</w:t>
      </w:r>
    </w:p>
    <w:p w:rsidR="00B22AA4" w:rsidRPr="00DE3A47"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AA4" w:rsidRPr="000B7D53"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w:t>
      </w:r>
      <w:r>
        <w:rPr>
          <w:u w:color="000000" w:themeColor="text1"/>
        </w:rPr>
        <w:noBreakHyphen/>
        <w:t>15</w:t>
      </w:r>
      <w:r>
        <w:rPr>
          <w:u w:color="000000" w:themeColor="text1"/>
        </w:rPr>
        <w:noBreakHyphen/>
        <w:t>145.</w:t>
      </w:r>
      <w:r>
        <w:rPr>
          <w:u w:color="000000" w:themeColor="text1"/>
        </w:rPr>
        <w:tab/>
        <w:t>(A)</w:t>
      </w:r>
      <w:r>
        <w:rPr>
          <w:u w:color="000000" w:themeColor="text1"/>
        </w:rPr>
        <w:tab/>
      </w:r>
      <w:r w:rsidRPr="000B7D53">
        <w:rPr>
          <w:u w:color="000000" w:themeColor="text1"/>
        </w:rPr>
        <w:t xml:space="preserve">Municipalities are authorized to transfer authority for conducting municipal elections to the county </w:t>
      </w:r>
      <w:r w:rsidRPr="00C275C8">
        <w:rPr>
          <w:u w:val="single"/>
        </w:rPr>
        <w:t>boards of voter registration and</w:t>
      </w:r>
      <w:r>
        <w:rPr>
          <w:u w:color="000000" w:themeColor="text1"/>
        </w:rPr>
        <w:t xml:space="preserve"> </w:t>
      </w:r>
      <w:r w:rsidRPr="000B7D53">
        <w:rPr>
          <w:u w:color="000000" w:themeColor="text1"/>
        </w:rPr>
        <w:t xml:space="preserve">elections </w:t>
      </w:r>
      <w:r w:rsidRPr="00C275C8">
        <w:rPr>
          <w:strike/>
          <w:u w:color="000000" w:themeColor="text1"/>
        </w:rPr>
        <w:t>commission</w:t>
      </w:r>
      <w:r w:rsidRPr="000B7D53">
        <w:rPr>
          <w:u w:color="000000" w:themeColor="text1"/>
        </w:rPr>
        <w:t xml:space="preserve">. County </w:t>
      </w:r>
      <w:r w:rsidRPr="00C275C8">
        <w:rPr>
          <w:u w:val="single"/>
        </w:rPr>
        <w:t>boards of voter registration and</w:t>
      </w:r>
      <w:r w:rsidRPr="00110404">
        <w:t xml:space="preserve"> </w:t>
      </w:r>
      <w:r w:rsidRPr="000B7D53">
        <w:rPr>
          <w:u w:color="000000" w:themeColor="text1"/>
        </w:rPr>
        <w:t xml:space="preserve">elections </w:t>
      </w:r>
      <w:r w:rsidRPr="00110404">
        <w:rPr>
          <w:strike/>
          <w:u w:color="000000" w:themeColor="text1"/>
        </w:rPr>
        <w:t>commissions</w:t>
      </w:r>
      <w:r w:rsidRPr="000B7D53">
        <w:rPr>
          <w:u w:color="000000" w:themeColor="text1"/>
        </w:rPr>
        <w:t xml:space="preserve"> are authorized to conduct municipal elections.</w:t>
      </w:r>
    </w:p>
    <w:p w:rsidR="00B22AA4" w:rsidRPr="000B7D53"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0B7D53">
        <w:rPr>
          <w:u w:color="000000" w:themeColor="text1"/>
        </w:rPr>
        <w:t>As a condition of the transfer of authority to conduct elections pursuant to this section, the governing bodies of the municipality and the county must agree to the terms of the transfer and enact ordinances embodying the terms of that agreement. The municipal ordinance must state what authority is being transferred and the county ordinance must accept the authority being transferred.</w:t>
      </w:r>
    </w:p>
    <w:p w:rsidR="00B22AA4" w:rsidRPr="000B7D53"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0B7D53">
        <w:rPr>
          <w:u w:color="000000" w:themeColor="text1"/>
        </w:rPr>
        <w:t xml:space="preserve">When the total responsibility for the conduct of a municipal election is transferred to a county </w:t>
      </w:r>
      <w:r w:rsidRPr="00110404">
        <w:rPr>
          <w:strike/>
          <w:u w:color="000000" w:themeColor="text1"/>
        </w:rPr>
        <w:t>election commission</w:t>
      </w:r>
      <w:r w:rsidRPr="00DA20D8">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pursuant to the provisions of this section, the municipal election commission is abolished.</w:t>
      </w:r>
    </w:p>
    <w:p w:rsidR="00B22AA4" w:rsidRPr="000B7D53"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0B7D53">
        <w:rPr>
          <w:u w:color="000000" w:themeColor="text1"/>
        </w:rPr>
        <w:t xml:space="preserve">If the municipality, by ordinance transfers a portion of the responsibilities for the conduct of a municipal election to a county </w:t>
      </w:r>
      <w:r w:rsidRPr="00DA20D8">
        <w:rPr>
          <w:strike/>
          <w:u w:color="000000" w:themeColor="text1"/>
        </w:rPr>
        <w:t>election commission</w:t>
      </w:r>
      <w:r>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the municipality shall not abolish the municipal election commission.</w:t>
      </w: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(E)</w:t>
      </w:r>
      <w:r>
        <w:rPr>
          <w:u w:color="000000" w:themeColor="text1"/>
        </w:rPr>
        <w:tab/>
      </w:r>
      <w:r w:rsidRPr="000B7D53">
        <w:rPr>
          <w:u w:color="000000" w:themeColor="text1"/>
        </w:rPr>
        <w:t xml:space="preserve">A municipality which by ordinance transfers authority for conducting municipal elections to the county </w:t>
      </w:r>
      <w:r w:rsidRPr="00DA20D8">
        <w:rPr>
          <w:strike/>
          <w:u w:color="000000" w:themeColor="text1"/>
        </w:rPr>
        <w:t>election commission</w:t>
      </w:r>
      <w:r w:rsidRPr="000B7D53">
        <w:rPr>
          <w:u w:color="000000" w:themeColor="text1"/>
        </w:rPr>
        <w:t xml:space="preserve"> </w:t>
      </w:r>
      <w:r w:rsidRPr="00C275C8">
        <w:rPr>
          <w:u w:val="single"/>
        </w:rPr>
        <w:t>board of voter registration and</w:t>
      </w:r>
      <w:r>
        <w:rPr>
          <w:u w:val="single"/>
        </w:rPr>
        <w:t xml:space="preserve"> elections</w:t>
      </w:r>
      <w:r w:rsidRPr="00DA20D8">
        <w:t xml:space="preserve"> </w:t>
      </w:r>
      <w:r w:rsidRPr="000B7D53">
        <w:rPr>
          <w:u w:color="000000" w:themeColor="text1"/>
        </w:rPr>
        <w:t xml:space="preserve">under this section may by ordinance set the filing dates for municipal offices, and the date by which candidates must be certified to the appropriate authority to be placed on the ballot, to run concurrently with the filing dates set by law for countywide and less than countywide offices or other filing dates as may be mutually agreed upon between the municipality and the county </w:t>
      </w:r>
      <w:r w:rsidRPr="00246F01">
        <w:rPr>
          <w:strike/>
          <w:u w:color="000000" w:themeColor="text1"/>
        </w:rPr>
        <w:t>election commission</w:t>
      </w:r>
      <w:r w:rsidRPr="00246F01">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w:t>
      </w:r>
      <w:r>
        <w:rPr>
          <w:u w:color="000000" w:themeColor="text1"/>
        </w:rPr>
        <w:t>”</w:t>
      </w: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AA4" w:rsidRDefault="00B22AA4"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2AA4" w:rsidRDefault="00B22A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558" w:rsidRDefault="00552558" w:rsidP="00B2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2558" w:rsidSect="00DD5FC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27F" w:rsidRDefault="0018727F" w:rsidP="009F0C77">
      <w:r>
        <w:separator/>
      </w:r>
    </w:p>
  </w:endnote>
  <w:endnote w:type="continuationSeparator" w:id="0">
    <w:p w:rsidR="0018727F" w:rsidRDefault="00187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C9D8E9-C6EF-4260-A35E-7F364DD58CBC}"/>
    <w:embedBold r:id="rId2" w:fontKey="{8145BFF7-21C9-46F4-AD1E-B92534F50FAF}"/>
  </w:font>
  <w:font w:name="Calibri">
    <w:panose1 w:val="020F0502020204030204"/>
    <w:charset w:val="00"/>
    <w:family w:val="swiss"/>
    <w:pitch w:val="variable"/>
    <w:sig w:usb0="E0002EFF" w:usb1="C000247B" w:usb2="00000009" w:usb3="00000000" w:csb0="000001FF" w:csb1="00000000"/>
    <w:embedRegular r:id="rId3" w:fontKey="{7AE562DA-703D-41AF-8254-A3B28A91F733}"/>
  </w:font>
  <w:font w:name="Segoe UI">
    <w:panose1 w:val="020B0502040204020203"/>
    <w:charset w:val="00"/>
    <w:family w:val="swiss"/>
    <w:pitch w:val="variable"/>
    <w:sig w:usb0="E4002EFF" w:usb1="C000E47F" w:usb2="00000009" w:usb3="00000000" w:csb0="000001FF" w:csb1="00000000"/>
    <w:embedRegular r:id="rId4" w:fontKey="{CAA84C16-C071-4AD4-A4B1-DA5DDAE5F58F}"/>
  </w:font>
  <w:font w:name="Cambria">
    <w:panose1 w:val="02040503050406030204"/>
    <w:charset w:val="00"/>
    <w:family w:val="roman"/>
    <w:pitch w:val="variable"/>
    <w:sig w:usb0="E00006FF" w:usb1="420024FF" w:usb2="02000000" w:usb3="00000000" w:csb0="0000019F" w:csb1="00000000"/>
    <w:embedRegular r:id="rId5" w:fontKey="{F122B3C2-374B-42E6-9343-AFCA0D74C7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AA4" w:rsidRPr="00D60C43" w:rsidRDefault="00B22AA4" w:rsidP="00D60C43">
    <w:pPr>
      <w:pStyle w:val="Footer"/>
      <w:tabs>
        <w:tab w:val="clear" w:pos="4680"/>
        <w:tab w:val="clear" w:pos="9360"/>
        <w:tab w:val="center" w:pos="2995"/>
      </w:tabs>
      <w:spacing w:before="120"/>
    </w:pPr>
    <w:r>
      <w:t>[866-</w:t>
    </w:r>
    <w:r>
      <w:fldChar w:fldCharType="begin"/>
    </w:r>
    <w:r>
      <w:instrText xml:space="preserve"> PAGE  \* MERGEFORMAT </w:instrText>
    </w:r>
    <w:r>
      <w:fldChar w:fldCharType="separate"/>
    </w:r>
    <w:r w:rsidR="00932A2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FCE" w:rsidRPr="00D60C43" w:rsidRDefault="00B22AA4" w:rsidP="00D60C43">
    <w:pPr>
      <w:pStyle w:val="Footer"/>
      <w:tabs>
        <w:tab w:val="clear" w:pos="4680"/>
        <w:tab w:val="clear" w:pos="9360"/>
        <w:tab w:val="center" w:pos="2995"/>
      </w:tabs>
      <w:spacing w:before="120"/>
    </w:pPr>
    <w:r>
      <w:t>[866]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27F" w:rsidRDefault="0018727F" w:rsidP="009F0C77">
      <w:r>
        <w:separator/>
      </w:r>
    </w:p>
  </w:footnote>
  <w:footnote w:type="continuationSeparator" w:id="0">
    <w:p w:rsidR="0018727F" w:rsidRDefault="00187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9ZW20"/>
    <w:docVar w:name="CoverBillType" w:val="b"/>
    <w:docVar w:name="DocPath" w:val="L:\Council\bills\CC\15649ZW20.DOCX"/>
    <w:docVar w:name="dvBillNumber" w:val="866"/>
    <w:docVar w:name="dvBillNumberPrefix" w:val="S. "/>
    <w:docVar w:name="dvOriginalBody" w:val="Senate"/>
    <w:docVar w:name="dvSteno" w:val="CC"/>
    <w:docVar w:name="NameofBody" w:val="s"/>
    <w:docVar w:name="vGroup2" w:val="Council"/>
  </w:docVars>
  <w:rsids>
    <w:rsidRoot w:val="0018727F"/>
    <w:rsid w:val="000263D9"/>
    <w:rsid w:val="00026C9A"/>
    <w:rsid w:val="000965A1"/>
    <w:rsid w:val="000C487D"/>
    <w:rsid w:val="000E1785"/>
    <w:rsid w:val="000F39F2"/>
    <w:rsid w:val="001023A4"/>
    <w:rsid w:val="0010776B"/>
    <w:rsid w:val="00133E66"/>
    <w:rsid w:val="00134ACF"/>
    <w:rsid w:val="00144E15"/>
    <w:rsid w:val="0018727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3587"/>
    <w:rsid w:val="004B2A8B"/>
    <w:rsid w:val="004D53EC"/>
    <w:rsid w:val="0050342C"/>
    <w:rsid w:val="00511EE9"/>
    <w:rsid w:val="00521E00"/>
    <w:rsid w:val="00552558"/>
    <w:rsid w:val="00577C6C"/>
    <w:rsid w:val="0058501B"/>
    <w:rsid w:val="005C5AC4"/>
    <w:rsid w:val="005E3227"/>
    <w:rsid w:val="0061228A"/>
    <w:rsid w:val="006215AA"/>
    <w:rsid w:val="006340D9"/>
    <w:rsid w:val="00643B8E"/>
    <w:rsid w:val="00653ECC"/>
    <w:rsid w:val="00665EBC"/>
    <w:rsid w:val="00680479"/>
    <w:rsid w:val="0069470D"/>
    <w:rsid w:val="006948AF"/>
    <w:rsid w:val="006A476C"/>
    <w:rsid w:val="006C6A93"/>
    <w:rsid w:val="006E02F9"/>
    <w:rsid w:val="006F3F76"/>
    <w:rsid w:val="00753C04"/>
    <w:rsid w:val="00756946"/>
    <w:rsid w:val="00757F80"/>
    <w:rsid w:val="00771EEC"/>
    <w:rsid w:val="00786819"/>
    <w:rsid w:val="007A325A"/>
    <w:rsid w:val="007A7201"/>
    <w:rsid w:val="007C3099"/>
    <w:rsid w:val="007E72BE"/>
    <w:rsid w:val="007F1523"/>
    <w:rsid w:val="007F509E"/>
    <w:rsid w:val="007F5799"/>
    <w:rsid w:val="007F6947"/>
    <w:rsid w:val="00834A12"/>
    <w:rsid w:val="00872729"/>
    <w:rsid w:val="008F4429"/>
    <w:rsid w:val="00932670"/>
    <w:rsid w:val="00932A25"/>
    <w:rsid w:val="009352BB"/>
    <w:rsid w:val="00990668"/>
    <w:rsid w:val="009B397B"/>
    <w:rsid w:val="009F0C77"/>
    <w:rsid w:val="009F4DD1"/>
    <w:rsid w:val="00A64E80"/>
    <w:rsid w:val="00A741D9"/>
    <w:rsid w:val="00A85589"/>
    <w:rsid w:val="00A912F4"/>
    <w:rsid w:val="00A9741D"/>
    <w:rsid w:val="00AB0576"/>
    <w:rsid w:val="00AD4B17"/>
    <w:rsid w:val="00B22AA4"/>
    <w:rsid w:val="00B26FA6"/>
    <w:rsid w:val="00B741CB"/>
    <w:rsid w:val="00B87AF8"/>
    <w:rsid w:val="00B934F3"/>
    <w:rsid w:val="00BB3BD8"/>
    <w:rsid w:val="00BB6347"/>
    <w:rsid w:val="00BD2134"/>
    <w:rsid w:val="00C038D8"/>
    <w:rsid w:val="00C045DD"/>
    <w:rsid w:val="00C3136F"/>
    <w:rsid w:val="00C3483A"/>
    <w:rsid w:val="00C74E9D"/>
    <w:rsid w:val="00C82FD3"/>
    <w:rsid w:val="00CC4DAF"/>
    <w:rsid w:val="00CC6B7B"/>
    <w:rsid w:val="00CD3619"/>
    <w:rsid w:val="00CF4447"/>
    <w:rsid w:val="00D149D1"/>
    <w:rsid w:val="00D239F9"/>
    <w:rsid w:val="00D24C61"/>
    <w:rsid w:val="00D405E7"/>
    <w:rsid w:val="00D40DD2"/>
    <w:rsid w:val="00D41D56"/>
    <w:rsid w:val="00D57CC0"/>
    <w:rsid w:val="00D60C43"/>
    <w:rsid w:val="00D6260D"/>
    <w:rsid w:val="00D6662B"/>
    <w:rsid w:val="00D95E2F"/>
    <w:rsid w:val="00D970A9"/>
    <w:rsid w:val="00D97CA0"/>
    <w:rsid w:val="00DB3AC0"/>
    <w:rsid w:val="00DB4FDD"/>
    <w:rsid w:val="00DC6813"/>
    <w:rsid w:val="00DE68F0"/>
    <w:rsid w:val="00DF3845"/>
    <w:rsid w:val="00DF7E17"/>
    <w:rsid w:val="00E12B89"/>
    <w:rsid w:val="00E437DA"/>
    <w:rsid w:val="00E63093"/>
    <w:rsid w:val="00EA44D1"/>
    <w:rsid w:val="00EB00A2"/>
    <w:rsid w:val="00EB1BF3"/>
    <w:rsid w:val="00EC31D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112109-F85B-4FD8-AEA4-10DA1369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8AF"/>
    <w:rPr>
      <w:rFonts w:ascii="Segoe UI" w:eastAsia="Times New Roman" w:hAnsi="Segoe UI" w:cs="Segoe UI"/>
      <w:sz w:val="18"/>
      <w:szCs w:val="18"/>
    </w:rPr>
  </w:style>
  <w:style w:type="character" w:styleId="Hyperlink">
    <w:name w:val="Hyperlink"/>
    <w:basedOn w:val="DefaultParagraphFont"/>
    <w:uiPriority w:val="99"/>
    <w:unhideWhenUsed/>
    <w:rsid w:val="00552558"/>
    <w:rPr>
      <w:color w:val="0000FF" w:themeColor="hyperlink"/>
      <w:u w:val="single"/>
    </w:rPr>
  </w:style>
  <w:style w:type="paragraph" w:styleId="NoSpacing">
    <w:name w:val="No Spacing"/>
    <w:uiPriority w:val="1"/>
    <w:qFormat/>
    <w:rsid w:val="00B22AA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hj\202003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00114.docx" TargetMode="External"/><Relationship Id="rId12" Type="http://schemas.openxmlformats.org/officeDocument/2006/relationships/hyperlink" Target="file:///h:\sj\20200310.docx" TargetMode="External"/><Relationship Id="rId17" Type="http://schemas.openxmlformats.org/officeDocument/2006/relationships/hyperlink" Target="file:///p:\pprever\2019-20\866_20200129.docx" TargetMode="External"/><Relationship Id="rId2" Type="http://schemas.openxmlformats.org/officeDocument/2006/relationships/styles" Target="styles.xml"/><Relationship Id="rId16" Type="http://schemas.openxmlformats.org/officeDocument/2006/relationships/hyperlink" Target="file:///p:\pprever\2019-20\866_20191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866&amp;session=123&amp;summary=B" TargetMode="External"/><Relationship Id="rId10" Type="http://schemas.openxmlformats.org/officeDocument/2006/relationships/hyperlink" Target="file:///h:\sj\2020030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00129.docx" TargetMode="External"/><Relationship Id="rId14" Type="http://schemas.openxmlformats.org/officeDocument/2006/relationships/hyperlink" Target="file:///h:\hj\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4CB1B-EC7C-41E0-A45C-1C89756B6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866: Subject not yet available - South Carolina Legislature Online</dc:title>
  <dc:subject/>
  <dc:creator>Chris Charlton</dc:creator>
  <cp:keywords/>
  <dc:description/>
  <cp:lastModifiedBy>S Wilson</cp:lastModifiedBy>
  <cp:revision>2</cp:revision>
  <cp:lastPrinted>2019-12-06T15:28:00Z</cp:lastPrinted>
  <dcterms:created xsi:type="dcterms:W3CDTF">2020-03-19T17:37:00Z</dcterms:created>
  <dcterms:modified xsi:type="dcterms:W3CDTF">2020-03-19T17:37:00Z</dcterms:modified>
</cp:coreProperties>
</file>