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303" w:rsidRDefault="00E27303" w:rsidP="007F6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F61FB" w:rsidRDefault="007F61FB" w:rsidP="007F6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1FB" w:rsidRDefault="007F61FB" w:rsidP="007F6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1FB" w:rsidRDefault="007F61FB" w:rsidP="007F6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1FB" w:rsidRDefault="007F61FB" w:rsidP="007F6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1FB" w:rsidRDefault="007F61FB" w:rsidP="007F6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1FB" w:rsidRDefault="007F61FB" w:rsidP="007F6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73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6A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5F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 w:rsidR="00EB7FBD">
        <w:noBreakHyphen/>
      </w:r>
      <w:r>
        <w:t>13</w:t>
      </w:r>
      <w:r w:rsidR="00EB7FBD">
        <w:noBreakHyphen/>
      </w:r>
      <w:r>
        <w:t>25 SO AS TO ESTABLISH EARLY VOTING PROCEDURES; TO AMEND SECTION 7</w:t>
      </w:r>
      <w:r w:rsidR="00EB7FBD">
        <w:noBreakHyphen/>
      </w:r>
      <w:r>
        <w:t>3</w:t>
      </w:r>
      <w:r w:rsidR="00EB7FBD">
        <w:noBreakHyphen/>
      </w:r>
      <w:r>
        <w:t>20, RELATING TO DUTIES OF THE EXECUTIVE DIRECTOR OF THE STATE ELECTION COMMISSION, SO AS TO FURTHER DEFINE HIS DUTIES; AND TO AMEND SECTION 7</w:t>
      </w:r>
      <w:r w:rsidR="00EB7FBD">
        <w:noBreakHyphen/>
      </w:r>
      <w:r>
        <w:t>15</w:t>
      </w:r>
      <w:r w:rsidR="00EB7FBD">
        <w:noBreakHyphen/>
      </w:r>
      <w:r>
        <w:t>320, RELATING TO PERSONS QUALIFIED TO VOTE BY ABSENTEE BALLOT, SO AS TO INCLUDE VOTING DURING THE EARLY VOTING PERIOD.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6A17" w:rsidRDefault="00756A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56A17" w:rsidRDefault="00756A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F99" w:rsidRPr="004452F0" w:rsidRDefault="00756A17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35F99"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B35F99" w:rsidRPr="004452F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B35F99" w:rsidRPr="004452F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 w:rsidR="00EB7FBD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 w:rsidR="00EB7FBD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B35F99" w:rsidRPr="004452F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B35F99" w:rsidRPr="004452F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B35F99" w:rsidRPr="004452F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 xml:space="preserve"> and may establish up to three early voting centers.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voting center</w:t>
      </w:r>
      <w:r>
        <w:rPr>
          <w:rFonts w:eastAsia="MS Mincho"/>
          <w:color w:val="000000" w:themeColor="text1"/>
          <w:u w:color="000000" w:themeColor="text1"/>
        </w:rPr>
        <w:t xml:space="preserve"> or centers. 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B35F99" w:rsidRPr="004452F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lastRenderedPageBreak/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ten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however: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(1)</w:t>
      </w:r>
      <w:r>
        <w:rPr>
          <w:rFonts w:eastAsia="MS Mincho"/>
          <w:color w:val="000000" w:themeColor="text1"/>
          <w:u w:color="000000" w:themeColor="text1"/>
        </w:rPr>
        <w:tab/>
        <w:t>for any election, the early voting centers shall not open on Sundays;</w:t>
      </w: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(2)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>for statewide primaries and general elections</w:t>
      </w:r>
      <w:r>
        <w:rPr>
          <w:rFonts w:eastAsia="MS Mincho"/>
          <w:color w:val="000000" w:themeColor="text1"/>
          <w:u w:color="000000" w:themeColor="text1"/>
        </w:rPr>
        <w:t xml:space="preserve">, </w:t>
      </w:r>
      <w:r w:rsidRPr="004452F0">
        <w:rPr>
          <w:rFonts w:eastAsia="MS Mincho"/>
          <w:color w:val="000000" w:themeColor="text1"/>
          <w:u w:color="000000" w:themeColor="text1"/>
        </w:rPr>
        <w:t>the early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open for two Saturdays within</w:t>
      </w:r>
      <w:r>
        <w:rPr>
          <w:rFonts w:eastAsia="MS Mincho"/>
          <w:color w:val="000000" w:themeColor="text1"/>
          <w:u w:color="000000" w:themeColor="text1"/>
        </w:rPr>
        <w:t xml:space="preserve"> the early voting period; and</w:t>
      </w: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(3)</w:t>
      </w:r>
      <w:r>
        <w:rPr>
          <w:rFonts w:eastAsia="MS Mincho"/>
          <w:color w:val="000000" w:themeColor="text1"/>
          <w:u w:color="000000" w:themeColor="text1"/>
        </w:rPr>
        <w:tab/>
        <w:t>for any election that is not a statewide primary or general election, the county board of registration and elections shall determine whether or not to open the early voting centers on Saturdays during the early voting period.</w:t>
      </w:r>
      <w:r>
        <w:rPr>
          <w:rFonts w:eastAsia="MS Mincho"/>
          <w:color w:val="000000" w:themeColor="text1"/>
          <w:u w:color="000000" w:themeColor="text1"/>
        </w:rPr>
        <w:tab/>
      </w:r>
    </w:p>
    <w:p w:rsidR="00B35F99" w:rsidRPr="004452F0" w:rsidRDefault="00B35F99" w:rsidP="00B35F9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7E554A">
        <w:rPr>
          <w:rFonts w:eastAsia="MS Mincho"/>
          <w:color w:val="000000" w:themeColor="text1"/>
          <w:sz w:val="22"/>
          <w:u w:color="000000" w:themeColor="text1"/>
        </w:rPr>
        <w:t xml:space="preserve">In addition to the early voting centers established pursuant to </w:t>
      </w:r>
      <w:r>
        <w:rPr>
          <w:rFonts w:eastAsia="MS Mincho"/>
          <w:color w:val="000000" w:themeColor="text1"/>
          <w:sz w:val="22"/>
          <w:u w:color="000000" w:themeColor="text1"/>
        </w:rPr>
        <w:t>this s</w:t>
      </w:r>
      <w:r w:rsidRPr="007E554A">
        <w:rPr>
          <w:rFonts w:eastAsia="MS Mincho"/>
          <w:color w:val="000000" w:themeColor="text1"/>
          <w:sz w:val="22"/>
          <w:u w:color="000000" w:themeColor="text1"/>
        </w:rPr>
        <w:t>ection, a county board of registration and elections may authorize up to two additional early voting centers if the county board of registration and elections finds there is a need for additional early voting centers after holding a public hearing on the matter.  The county board of registration and elections will determine the location of the early voting center or centers.</w:t>
      </w:r>
    </w:p>
    <w:p w:rsidR="00B35F99" w:rsidRPr="00030298" w:rsidRDefault="00B35F99" w:rsidP="00B35F9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MS Mincho"/>
          <w:color w:val="000000" w:themeColor="text1"/>
          <w:sz w:val="22"/>
          <w:szCs w:val="22"/>
          <w:u w:color="000000" w:themeColor="text1"/>
        </w:rPr>
      </w:pPr>
      <w:r w:rsidRPr="007E554A">
        <w:rPr>
          <w:rFonts w:eastAsia="MS Mincho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(H</w:t>
      </w:r>
      <w:r w:rsidRPr="004452F0">
        <w:rPr>
          <w:color w:val="000000" w:themeColor="text1"/>
          <w:u w:color="000000" w:themeColor="text1"/>
        </w:rPr>
        <w:t>)</w:t>
      </w:r>
      <w:r w:rsidRPr="004452F0">
        <w:rPr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 xml:space="preserve">A sign must be posted prominently in </w:t>
      </w:r>
      <w:r>
        <w:rPr>
          <w:rFonts w:eastAsia="MS Mincho"/>
          <w:color w:val="000000" w:themeColor="text1"/>
          <w:u w:color="000000" w:themeColor="text1"/>
        </w:rPr>
        <w:t>the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and </w:t>
      </w:r>
      <w:r>
        <w:rPr>
          <w:rFonts w:eastAsia="MS Mincho"/>
          <w:color w:val="000000" w:themeColor="text1"/>
          <w:u w:color="000000" w:themeColor="text1"/>
        </w:rPr>
        <w:t>shall have printed on it: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  <w:r w:rsidR="00EB7FBD" w:rsidRPr="00EB7FBD">
        <w:rPr>
          <w:rFonts w:eastAsia="MS Mincho"/>
          <w:color w:val="000000" w:themeColor="text1"/>
          <w:sz w:val="22"/>
          <w:szCs w:val="22"/>
          <w:u w:color="000000" w:themeColor="text1"/>
        </w:rPr>
        <w:t>‘</w:t>
      </w:r>
      <w:r w:rsidRPr="00030298">
        <w:rPr>
          <w:rFonts w:eastAsia="MS Mincho"/>
          <w:color w:val="000000" w:themeColor="text1"/>
          <w:sz w:val="22"/>
          <w:szCs w:val="22"/>
          <w:u w:color="000000" w:themeColor="text1"/>
        </w:rPr>
        <w:t>VOTING MORE THAN ONCE IS A MISDEMEANOR AND, UPON CONVICTION, A PERSON MUST BE FINED IN THE DISCRETION OF THE COURT OR IMPRISO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NED NOT MORE THAN THREE YEARS</w:t>
      </w:r>
      <w:r w:rsidR="00EB7FBD" w:rsidRPr="00EB7FBD">
        <w:rPr>
          <w:rFonts w:eastAsia="MS Mincho"/>
          <w:color w:val="000000" w:themeColor="text1"/>
          <w:sz w:val="22"/>
          <w:szCs w:val="22"/>
          <w:u w:color="000000" w:themeColor="text1"/>
        </w:rPr>
        <w:t>’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.</w:t>
      </w: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snapToGrid w:val="0"/>
        </w:rPr>
        <w:tab/>
        <w:t>(I)</w:t>
      </w:r>
      <w:r>
        <w:rPr>
          <w:snapToGrid w:val="0"/>
        </w:rPr>
        <w:tab/>
        <w:t>The provision of this section do not apply to presidential preference primaries held pursuant to Section 7</w:t>
      </w:r>
      <w:r w:rsidR="00EB7FBD">
        <w:rPr>
          <w:snapToGrid w:val="0"/>
        </w:rPr>
        <w:noBreakHyphen/>
      </w:r>
      <w:r>
        <w:rPr>
          <w:snapToGrid w:val="0"/>
        </w:rPr>
        <w:t>11</w:t>
      </w:r>
      <w:r w:rsidR="00EB7FBD">
        <w:rPr>
          <w:snapToGrid w:val="0"/>
        </w:rPr>
        <w:noBreakHyphen/>
      </w:r>
      <w:r>
        <w:rPr>
          <w:snapToGrid w:val="0"/>
        </w:rPr>
        <w:t>20.”</w:t>
      </w: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B35F99" w:rsidRPr="004452F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 w:rsidR="00EB7FBD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 w:rsidR="00EB7FBD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 xml:space="preserve">20(C) of the 1976 Code is amended </w:t>
      </w:r>
      <w:r>
        <w:rPr>
          <w:color w:val="000000" w:themeColor="text1"/>
          <w:u w:color="000000" w:themeColor="text1"/>
        </w:rPr>
        <w:t>by adding an appropriately numbered item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B35F99" w:rsidRPr="004452F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 xml:space="preserve">er into the master file a separate designation for each voter casting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 xml:space="preserve">absentee ballot </w:t>
      </w:r>
      <w:r>
        <w:rPr>
          <w:color w:val="000000" w:themeColor="text1"/>
        </w:rPr>
        <w:t>or</w:t>
      </w:r>
      <w:r w:rsidRPr="005E067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>early ballot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 w:rsidR="00EB7FBD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 w:rsidR="00EB7FBD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 is amended</w:t>
      </w:r>
      <w:r>
        <w:rPr>
          <w:color w:val="000000" w:themeColor="text1"/>
          <w:u w:color="000000" w:themeColor="text1"/>
        </w:rPr>
        <w:t xml:space="preserve"> by adding</w:t>
      </w:r>
      <w:r w:rsidR="00465143">
        <w:rPr>
          <w:color w:val="000000" w:themeColor="text1"/>
          <w:u w:color="000000" w:themeColor="text1"/>
        </w:rPr>
        <w:t xml:space="preserve"> an appropriately lettered subsection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B35F99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F99" w:rsidRPr="00D74400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D74400">
        <w:rPr>
          <w:color w:val="000000" w:themeColor="text1"/>
        </w:rPr>
        <w:t>(</w:t>
      </w:r>
      <w:r w:rsidR="00EC7C4B">
        <w:rPr>
          <w:color w:val="000000" w:themeColor="text1"/>
        </w:rPr>
        <w:t xml:space="preserve">  </w:t>
      </w:r>
      <w:r w:rsidRPr="00D74400">
        <w:rPr>
          <w:color w:val="000000" w:themeColor="text1"/>
        </w:rPr>
        <w:t>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 w:rsidR="00EB7FBD"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 w:rsidR="00EB7FBD"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B35F99" w:rsidRPr="00C26F2F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756A17" w:rsidRDefault="00B35F99" w:rsidP="00B3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F2F">
        <w:rPr>
          <w:color w:val="000000" w:themeColor="text1"/>
          <w:u w:color="000000" w:themeColor="text1"/>
        </w:rPr>
        <w:lastRenderedPageBreak/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37754" w:rsidRDefault="00EB7FB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7303" w:rsidRDefault="00E27303" w:rsidP="00E27303">
      <w:pPr>
        <w:suppressAutoHyphens/>
      </w:pPr>
    </w:p>
    <w:sectPr w:rsidR="00E27303" w:rsidSect="00E273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A17" w:rsidRDefault="00756A17" w:rsidP="009F0C77">
      <w:r>
        <w:separator/>
      </w:r>
    </w:p>
  </w:endnote>
  <w:endnote w:type="continuationSeparator" w:id="0">
    <w:p w:rsidR="00756A17" w:rsidRDefault="00756A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6F1118-F94C-4C29-A1CD-A0F69C3EE478}"/>
    <w:embedBold r:id="rId2" w:fontKey="{44575D04-3432-46F7-98BC-463F06F103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8ABCA7-FE2E-4C93-9F9A-1B644E1D704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5D13FD-21BE-4ABC-9C0B-6D34AA22B2C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B63F3A-C0D9-4C3F-97D6-5448D2A3E9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754" w:rsidRPr="00E27303" w:rsidRDefault="00E27303" w:rsidP="00E273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A17" w:rsidRDefault="00756A17" w:rsidP="009F0C77">
      <w:r>
        <w:separator/>
      </w:r>
    </w:p>
  </w:footnote>
  <w:footnote w:type="continuationSeparator" w:id="0">
    <w:p w:rsidR="00756A17" w:rsidRDefault="00756A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371ZW19"/>
    <w:docVar w:name="CoverBillType" w:val="b"/>
    <w:docVar w:name="DocPath" w:val="L:\Council\bills\CC\15371ZW19.DOCX"/>
    <w:docVar w:name="dvBillNumber" w:val="142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756A1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019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5143"/>
    <w:rsid w:val="00465942"/>
    <w:rsid w:val="004809EE"/>
    <w:rsid w:val="004B2A8B"/>
    <w:rsid w:val="00511EE9"/>
    <w:rsid w:val="00521E00"/>
    <w:rsid w:val="00577C6C"/>
    <w:rsid w:val="0058501B"/>
    <w:rsid w:val="005A6B98"/>
    <w:rsid w:val="005C5AC4"/>
    <w:rsid w:val="0061228A"/>
    <w:rsid w:val="006215AA"/>
    <w:rsid w:val="006340D9"/>
    <w:rsid w:val="00637754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6927"/>
    <w:rsid w:val="00753C04"/>
    <w:rsid w:val="00756946"/>
    <w:rsid w:val="00756A17"/>
    <w:rsid w:val="00757F80"/>
    <w:rsid w:val="00771EEC"/>
    <w:rsid w:val="007744EA"/>
    <w:rsid w:val="00786819"/>
    <w:rsid w:val="007A325A"/>
    <w:rsid w:val="007C3099"/>
    <w:rsid w:val="007E72BE"/>
    <w:rsid w:val="007F1523"/>
    <w:rsid w:val="007F509E"/>
    <w:rsid w:val="007F5799"/>
    <w:rsid w:val="007F61FB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35F99"/>
    <w:rsid w:val="00B741CB"/>
    <w:rsid w:val="00B87AF8"/>
    <w:rsid w:val="00B934F3"/>
    <w:rsid w:val="00BB6347"/>
    <w:rsid w:val="00BC5D6B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7303"/>
    <w:rsid w:val="00EB00A2"/>
    <w:rsid w:val="00EB1BF3"/>
    <w:rsid w:val="00EB7FBD"/>
    <w:rsid w:val="00EC7C4B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E1709F-478E-445D-8FAC-E3FEC6E34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B35F99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98D70-FD7C-4B79-A7A9-9E7AB6C47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3</Pages>
  <Words>602</Words>
  <Characters>2980</Characters>
  <Application>Microsoft Office Word</Application>
  <DocSecurity>0</DocSecurity>
  <Lines>87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142 Text of Previous Version (Dec. 12, 2018) - South Carolina Legislature Online</dc:title>
  <dc:subject/>
  <dc:creator>Chris Charlton</dc:creator>
  <cp:keywords/>
  <dc:description/>
  <cp:lastModifiedBy>S Volk</cp:lastModifiedBy>
  <cp:revision>2</cp:revision>
  <cp:lastPrinted>2018-12-11T21:40:00Z</cp:lastPrinted>
  <dcterms:created xsi:type="dcterms:W3CDTF">2018-12-12T20:50:00Z</dcterms:created>
  <dcterms:modified xsi:type="dcterms:W3CDTF">2018-12-12T20:50:00Z</dcterms:modified>
</cp:coreProperties>
</file>