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2019</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Pr="0025049B" w:rsidRDefault="0025049B" w:rsidP="0025049B">
      <w:pPr>
        <w:tabs>
          <w:tab w:val="right" w:pos="5933"/>
        </w:tabs>
        <w:suppressAutoHyphens/>
        <w:jc w:val="both"/>
        <w:rPr>
          <w:rFonts w:eastAsia="Times New Roman"/>
        </w:rPr>
      </w:pPr>
      <w:r>
        <w:rPr>
          <w:rFonts w:eastAsia="Times New Roman"/>
        </w:rPr>
        <w:tab/>
      </w:r>
      <w:r>
        <w:rPr>
          <w:rFonts w:eastAsia="Times New Roman"/>
          <w:b/>
          <w:sz w:val="36"/>
        </w:rPr>
        <w:t>S. 207</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02B7">
        <w:t>Senator Young</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1/16/19--S.</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207) </w:t>
      </w:r>
      <w:r w:rsidRPr="0025049B">
        <w:rPr>
          <w:color w:val="000000" w:themeColor="text1"/>
          <w:szCs w:val="27"/>
          <w:u w:color="000000" w:themeColor="text1"/>
        </w:rPr>
        <w:t>to amend Section 12</w:t>
      </w:r>
      <w:r w:rsidRPr="0025049B">
        <w:rPr>
          <w:color w:val="000000" w:themeColor="text1"/>
          <w:szCs w:val="27"/>
          <w:u w:color="000000" w:themeColor="text1"/>
        </w:rPr>
        <w:noBreakHyphen/>
        <w:t>43</w:t>
      </w:r>
      <w:r w:rsidRPr="0025049B">
        <w:rPr>
          <w:color w:val="000000" w:themeColor="text1"/>
          <w:szCs w:val="27"/>
          <w:u w:color="000000" w:themeColor="text1"/>
        </w:rPr>
        <w:noBreakHyphen/>
        <w:t>220(c)(2) of the 1976 Code, relating to programs and uniform assesment ratios for county equalization and reassessment</w:t>
      </w:r>
      <w:r>
        <w:rPr>
          <w:rFonts w:eastAsia="Times New Roman"/>
        </w:rPr>
        <w:t>, etc., respectfully</w:t>
      </w: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5049B" w:rsidRPr="00BA55BE" w:rsidRDefault="0025049B" w:rsidP="0025049B">
      <w:pPr>
        <w:rPr>
          <w:rFonts w:eastAsiaTheme="majorEastAsia" w:cstheme="majorBidi"/>
          <w:b/>
        </w:rPr>
      </w:pPr>
      <w:r w:rsidRPr="00BA55BE">
        <w:rPr>
          <w:b/>
        </w:rPr>
        <w:t>Explanation of Fiscal Impact</w:t>
      </w:r>
    </w:p>
    <w:p w:rsidR="0025049B" w:rsidRPr="00BA55BE" w:rsidRDefault="0025049B" w:rsidP="0025049B">
      <w:pPr>
        <w:rPr>
          <w:b/>
        </w:rPr>
      </w:pPr>
      <w:r w:rsidRPr="00BA55BE">
        <w:rPr>
          <w:b/>
        </w:rPr>
        <w:t>Local Revenue</w:t>
      </w:r>
    </w:p>
    <w:p w:rsidR="0025049B" w:rsidRPr="00BA55BE" w:rsidRDefault="0025049B" w:rsidP="002504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firstLine="1"/>
        <w:jc w:val="both"/>
        <w:rPr>
          <w:sz w:val="22"/>
        </w:rPr>
      </w:pPr>
      <w:r>
        <w:rPr>
          <w:sz w:val="22"/>
        </w:rPr>
        <w:tab/>
      </w:r>
      <w:r w:rsidRPr="00BA55BE">
        <w:rPr>
          <w:sz w:val="22"/>
        </w:rPr>
        <w:t xml:space="preserve">This bill establishes that an owner, who is entitled to the special four percent assessment ratio for an owner-occupied residential property and becomes a patient in a nursing home or a community residential care facility, both defined in §44-7-130, retains the four percent assessment ratio.  This is as long as the owner otherwise qualifies, has an intention to return to the property, and the property is not rented in excess of seventy-two days in a year, per §12-43-220(c)(2).  </w:t>
      </w:r>
    </w:p>
    <w:p w:rsidR="0025049B" w:rsidRPr="00BA55BE" w:rsidRDefault="0025049B" w:rsidP="002504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A55BE">
        <w:rPr>
          <w:sz w:val="22"/>
        </w:rPr>
        <w:t xml:space="preserve">Based on prior conversations with assessors, the general practice among counties is to allow such a taxpayer to retain the owner-occupied residential assessment as long as the owner intends to return home and the property is not rented for longer than §12-43-220(c)(2) allows.  There may be a few incidences where this has not been the case.  However, as these cases are few, they are not likely to have a significant impact on local revenue.  </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Frank A. Rainwater, Executive Director</w:t>
      </w:r>
    </w:p>
    <w:p w:rsidR="0025049B" w:rsidRP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049B" w:rsidSect="002504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235" w:rsidRPr="00522CE0" w:rsidRDefault="00232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6E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2F21"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D968DD">
        <w:rPr>
          <w:color w:val="000000" w:themeColor="text1"/>
          <w:sz w:val="22"/>
          <w:szCs w:val="27"/>
          <w:u w:color="000000" w:themeColor="text1"/>
        </w:rPr>
        <w:t>TO AMEND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)(2) OF THE 1976 CODE, RELATING TO PROGRAMS AND UNIFORM ASSESSMENT RATIOS FOR COUNTY EQUALIZATION AND REASSESSMENT, TO PROVIDE THAT AN OWNER ELIGIBLE FOR AND RECEIVING THE SPECIAL ASSESSMENT PURSUANT TO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 WHO IS RESIDING AT A NURSING HOME RETAINS THE SPECIAL ASSESSMENT RATIO OF FOUR PERCENT FOR AS LONG AS THE OWNER REMAINS IN THE NURSING HOME.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F21" w:rsidRDefault="00576EC2"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SECTION</w:t>
      </w:r>
      <w:r>
        <w:tab/>
        <w:t>1.</w:t>
      </w:r>
      <w:r>
        <w:tab/>
      </w:r>
      <w:r w:rsidR="00EE2F21" w:rsidRPr="00D968DD">
        <w:rPr>
          <w:color w:val="000000" w:themeColor="text1"/>
          <w:sz w:val="22"/>
          <w:szCs w:val="27"/>
          <w:u w:color="000000" w:themeColor="text1"/>
        </w:rPr>
        <w:t>Section 12</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43</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220(c)(2) of the 1976 Code is amended by adding a subitem at the end to read:</w:t>
      </w: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sidRPr="00D968DD">
        <w:rPr>
          <w:color w:val="000000" w:themeColor="text1"/>
          <w:sz w:val="22"/>
          <w:szCs w:val="27"/>
          <w:u w:color="000000" w:themeColor="text1"/>
        </w:rPr>
        <w:t>“(ix)</w:t>
      </w:r>
      <w:r>
        <w:rPr>
          <w:color w:val="000000" w:themeColor="text1"/>
          <w:sz w:val="22"/>
          <w:szCs w:val="27"/>
          <w:u w:color="000000" w:themeColor="text1"/>
        </w:rPr>
        <w:tab/>
      </w:r>
      <w:r w:rsidRPr="00D968DD">
        <w:rPr>
          <w:color w:val="000000" w:themeColor="text1"/>
          <w:sz w:val="22"/>
          <w:szCs w:val="27"/>
          <w:u w:color="000000" w:themeColor="text1"/>
        </w:rPr>
        <w:t>If an owner who is entitled to the special assessment ratio for owner</w:t>
      </w:r>
      <w:r w:rsidR="00A36474">
        <w:rPr>
          <w:color w:val="000000" w:themeColor="text1"/>
          <w:sz w:val="22"/>
          <w:szCs w:val="27"/>
          <w:u w:color="000000" w:themeColor="text1"/>
        </w:rPr>
        <w:noBreakHyphen/>
      </w:r>
      <w:r w:rsidRPr="00D968DD">
        <w:rPr>
          <w:color w:val="000000" w:themeColor="text1"/>
          <w:sz w:val="22"/>
          <w:szCs w:val="27"/>
          <w:u w:color="000000" w:themeColor="text1"/>
        </w:rPr>
        <w:t>occupied residential property allowed pursuant to this item (c), becomes a patient at a nursing home or a community residential care facility, then the owner retains the four percent assessment ratio and applicable exemptions for as long as the owner remains in the home or facility so long as the owner otherwise qualifies, has an intention of returning to the property, and the property is not rented in excess of the amount allowed by this subitem(c)(2). For purposes of this subitem, nursing home and community residential care facility have the same meaning as provided in Section 44</w:t>
      </w:r>
      <w:r w:rsidR="00A36474">
        <w:rPr>
          <w:color w:val="000000" w:themeColor="text1"/>
          <w:sz w:val="22"/>
          <w:szCs w:val="27"/>
          <w:u w:color="000000" w:themeColor="text1"/>
        </w:rPr>
        <w:noBreakHyphen/>
      </w:r>
      <w:r w:rsidRPr="00D968DD">
        <w:rPr>
          <w:color w:val="000000" w:themeColor="text1"/>
          <w:sz w:val="22"/>
          <w:szCs w:val="27"/>
          <w:u w:color="000000" w:themeColor="text1"/>
        </w:rPr>
        <w:t>7</w:t>
      </w:r>
      <w:r w:rsidR="00A36474">
        <w:rPr>
          <w:color w:val="000000" w:themeColor="text1"/>
          <w:sz w:val="22"/>
          <w:szCs w:val="27"/>
          <w:u w:color="000000" w:themeColor="text1"/>
        </w:rPr>
        <w:noBreakHyphen/>
      </w:r>
      <w:r w:rsidRPr="00D968DD">
        <w:rPr>
          <w:color w:val="000000" w:themeColor="text1"/>
          <w:sz w:val="22"/>
          <w:szCs w:val="27"/>
          <w:u w:color="000000" w:themeColor="text1"/>
        </w:rPr>
        <w:t>130.”</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Pr="00522CE0"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2F21">
        <w:rPr>
          <w:rFonts w:eastAsia="Times New Roman"/>
        </w:rPr>
        <w:t>2</w:t>
      </w:r>
      <w:r>
        <w:rPr>
          <w:rFonts w:eastAsia="Times New Roman"/>
        </w:rPr>
        <w:t>.</w:t>
      </w:r>
      <w:r>
        <w:rPr>
          <w:rFonts w:eastAsia="Times New Roman"/>
        </w:rPr>
        <w:tab/>
        <w:t>This act takes effect upon approval by the Governor.</w:t>
      </w:r>
    </w:p>
    <w:p w:rsidR="00463589" w:rsidRDefault="00A364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5CC8" w:rsidRDefault="009C5CC8" w:rsidP="009C5CC8">
      <w:pPr>
        <w:suppressAutoHyphens/>
        <w:jc w:val="both"/>
        <w:rPr>
          <w:rFonts w:eastAsia="Times New Roman"/>
        </w:rPr>
      </w:pPr>
    </w:p>
    <w:sectPr w:rsidR="009C5CC8" w:rsidSect="002504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EC2" w:rsidRDefault="00576EC2" w:rsidP="00522CE0">
      <w:r>
        <w:separator/>
      </w:r>
    </w:p>
  </w:endnote>
  <w:endnote w:type="continuationSeparator" w:id="0">
    <w:p w:rsidR="00576EC2" w:rsidRDefault="00576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21FEBB-7FC9-447E-BB7F-7736F6588164}"/>
    <w:embedBold r:id="rId2" w:fontKey="{2C35BC6D-C9E3-44F2-B767-C7ED7BEF5AB7}"/>
  </w:font>
  <w:font w:name="Calibri">
    <w:panose1 w:val="020F0502020204030204"/>
    <w:charset w:val="00"/>
    <w:family w:val="swiss"/>
    <w:pitch w:val="variable"/>
    <w:sig w:usb0="E0002AFF" w:usb1="C000247B" w:usb2="00000009" w:usb3="00000000" w:csb0="000001FF" w:csb1="00000000"/>
    <w:embedRegular r:id="rId3" w:fontKey="{EA5C6A62-BCFF-4312-A453-AE82CC28BA0E}"/>
    <w:embedBold r:id="rId4" w:fontKey="{1E72B754-FF15-4BAE-A158-EE3FE7377B24}"/>
  </w:font>
  <w:font w:name="Cambria">
    <w:panose1 w:val="02040503050406030204"/>
    <w:charset w:val="00"/>
    <w:family w:val="roman"/>
    <w:pitch w:val="variable"/>
    <w:sig w:usb0="E00006FF" w:usb1="420024FF" w:usb2="02000000" w:usb3="00000000" w:csb0="0000019F" w:csb1="00000000"/>
    <w:embedRegular r:id="rId5" w:fontKey="{25C0F0C0-9CAD-44B1-ABE1-2A748DB0188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589" w:rsidRPr="00232235" w:rsidRDefault="00232235" w:rsidP="00232235">
    <w:pPr>
      <w:pStyle w:val="Footer"/>
      <w:tabs>
        <w:tab w:val="clear" w:pos="4680"/>
        <w:tab w:val="clear" w:pos="9360"/>
        <w:tab w:val="center" w:pos="2995"/>
      </w:tabs>
      <w:spacing w:before="120"/>
    </w:pPr>
    <w:r>
      <w:t>[207</w:t>
    </w:r>
    <w:r w:rsidR="0025049B">
      <w:t>-</w:t>
    </w:r>
    <w:r w:rsidR="0025049B">
      <w:fldChar w:fldCharType="begin"/>
    </w:r>
    <w:r w:rsidR="0025049B">
      <w:instrText xml:space="preserve"> PAGE  \* MERGEFORMAT </w:instrText>
    </w:r>
    <w:r w:rsidR="0025049B">
      <w:fldChar w:fldCharType="separate"/>
    </w:r>
    <w:r w:rsidR="009C5CC8">
      <w:rPr>
        <w:noProof/>
      </w:rPr>
      <w:t>2</w:t>
    </w:r>
    <w:r w:rsidR="0025049B">
      <w:fldChar w:fldCharType="end"/>
    </w:r>
    <w:r w:rsidR="0025049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9B" w:rsidRPr="00232235" w:rsidRDefault="0025049B" w:rsidP="00232235">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9C5CC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EC2" w:rsidRDefault="00576EC2" w:rsidP="00522CE0">
      <w:r>
        <w:separator/>
      </w:r>
    </w:p>
  </w:footnote>
  <w:footnote w:type="continuationSeparator" w:id="0">
    <w:p w:rsidR="00576EC2" w:rsidRDefault="00576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AS.SP.TRY"/>
    <w:docVar w:name="CoverAttorneyInitials" w:val="SP"/>
    <w:docVar w:name="CoverAttorneyLastName" w:val="Parrish"/>
    <w:docVar w:name="CoverBillType" w:val="b"/>
    <w:docVar w:name="CoverSenator" w:val="TRY"/>
    <w:docVar w:name="dvBillNumber" w:val="207"/>
    <w:docVar w:name="dvBillNumberPrefix" w:val="S. "/>
    <w:docVar w:name="dvOriginalBody" w:val="Senate"/>
    <w:docVar w:name="fulldraftpath" w:val="L:\S-RES\TRY\002REAS.SP.TRY.DOCX"/>
    <w:docVar w:name="NameofBody" w:val="S"/>
    <w:docVar w:name="vgroup2" w:val="S-RES"/>
  </w:docVars>
  <w:rsids>
    <w:rsidRoot w:val="00576EC2"/>
    <w:rsid w:val="00042AC1"/>
    <w:rsid w:val="00046516"/>
    <w:rsid w:val="00072458"/>
    <w:rsid w:val="0007601D"/>
    <w:rsid w:val="000B0720"/>
    <w:rsid w:val="000B5EAF"/>
    <w:rsid w:val="001315B2"/>
    <w:rsid w:val="00170561"/>
    <w:rsid w:val="00186AC9"/>
    <w:rsid w:val="00197DF1"/>
    <w:rsid w:val="001B3DD9"/>
    <w:rsid w:val="001B7E5D"/>
    <w:rsid w:val="001D3BAC"/>
    <w:rsid w:val="00213EB5"/>
    <w:rsid w:val="00216025"/>
    <w:rsid w:val="00232235"/>
    <w:rsid w:val="00245C4E"/>
    <w:rsid w:val="0025049B"/>
    <w:rsid w:val="00284258"/>
    <w:rsid w:val="002C1321"/>
    <w:rsid w:val="002C2031"/>
    <w:rsid w:val="002C5896"/>
    <w:rsid w:val="002D3BED"/>
    <w:rsid w:val="00307C2B"/>
    <w:rsid w:val="00315D04"/>
    <w:rsid w:val="00383247"/>
    <w:rsid w:val="003C56F9"/>
    <w:rsid w:val="003D6E2B"/>
    <w:rsid w:val="003E7597"/>
    <w:rsid w:val="00413EBF"/>
    <w:rsid w:val="0044020F"/>
    <w:rsid w:val="00450668"/>
    <w:rsid w:val="00454138"/>
    <w:rsid w:val="00463589"/>
    <w:rsid w:val="004813A2"/>
    <w:rsid w:val="004952FA"/>
    <w:rsid w:val="004B6A22"/>
    <w:rsid w:val="004D7F37"/>
    <w:rsid w:val="00522CE0"/>
    <w:rsid w:val="00541951"/>
    <w:rsid w:val="00565148"/>
    <w:rsid w:val="00570403"/>
    <w:rsid w:val="00576EC2"/>
    <w:rsid w:val="00593361"/>
    <w:rsid w:val="005A413B"/>
    <w:rsid w:val="005A5017"/>
    <w:rsid w:val="005A648C"/>
    <w:rsid w:val="005F07AC"/>
    <w:rsid w:val="005F1745"/>
    <w:rsid w:val="006866CD"/>
    <w:rsid w:val="006A1802"/>
    <w:rsid w:val="006C0CBB"/>
    <w:rsid w:val="006C74EA"/>
    <w:rsid w:val="00720D40"/>
    <w:rsid w:val="007318D4"/>
    <w:rsid w:val="00765784"/>
    <w:rsid w:val="007A4390"/>
    <w:rsid w:val="007E5CB7"/>
    <w:rsid w:val="008314D2"/>
    <w:rsid w:val="00862EC6"/>
    <w:rsid w:val="00870F6F"/>
    <w:rsid w:val="008B2F42"/>
    <w:rsid w:val="008C3697"/>
    <w:rsid w:val="008E185F"/>
    <w:rsid w:val="008F023B"/>
    <w:rsid w:val="00904E16"/>
    <w:rsid w:val="009162B3"/>
    <w:rsid w:val="00927C62"/>
    <w:rsid w:val="00983951"/>
    <w:rsid w:val="00984124"/>
    <w:rsid w:val="00984640"/>
    <w:rsid w:val="00995C37"/>
    <w:rsid w:val="009C118A"/>
    <w:rsid w:val="009C5CC8"/>
    <w:rsid w:val="009E4022"/>
    <w:rsid w:val="00A02011"/>
    <w:rsid w:val="00A36474"/>
    <w:rsid w:val="00A4011E"/>
    <w:rsid w:val="00A82B38"/>
    <w:rsid w:val="00A86015"/>
    <w:rsid w:val="00A9594E"/>
    <w:rsid w:val="00AE59C8"/>
    <w:rsid w:val="00B10098"/>
    <w:rsid w:val="00B5790D"/>
    <w:rsid w:val="00B945C5"/>
    <w:rsid w:val="00BA20EA"/>
    <w:rsid w:val="00BB5AFC"/>
    <w:rsid w:val="00BC0A56"/>
    <w:rsid w:val="00C45366"/>
    <w:rsid w:val="00C57023"/>
    <w:rsid w:val="00C74052"/>
    <w:rsid w:val="00C74B2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046"/>
    <w:rsid w:val="00E76AD9"/>
    <w:rsid w:val="00E86EE2"/>
    <w:rsid w:val="00E91E2F"/>
    <w:rsid w:val="00EA3546"/>
    <w:rsid w:val="00EB47AE"/>
    <w:rsid w:val="00EC34E1"/>
    <w:rsid w:val="00EE2F2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E99C763-2EBE-4FB0-8FCB-CC2A8D38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E2F21"/>
    <w:pPr>
      <w:spacing w:before="100" w:beforeAutospacing="1" w:after="100" w:afterAutospacing="1"/>
    </w:pPr>
    <w:rPr>
      <w:rFonts w:eastAsia="Times New Roman"/>
      <w:sz w:val="24"/>
      <w:szCs w:val="24"/>
    </w:rPr>
  </w:style>
  <w:style w:type="paragraph" w:styleId="NoSpacing">
    <w:name w:val="No Spacing"/>
    <w:uiPriority w:val="1"/>
    <w:qFormat/>
    <w:rsid w:val="0025049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DB1042</Template>
  <TotalTime>0</TotalTime>
  <Pages>3</Pages>
  <Words>471</Words>
  <Characters>2418</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207 Text of Previous Version (Jan. 16, 2019) - South Carolina Legislature Online</dc:title>
  <dc:subject/>
  <dc:creator>Sara Parrish</dc:creator>
  <cp:keywords/>
  <dc:description/>
  <cp:lastModifiedBy>DeMarcus Moore</cp:lastModifiedBy>
  <cp:revision>2</cp:revision>
  <dcterms:created xsi:type="dcterms:W3CDTF">2019-01-16T23:16:00Z</dcterms:created>
  <dcterms:modified xsi:type="dcterms:W3CDTF">2019-01-16T23:16:00Z</dcterms:modified>
</cp:coreProperties>
</file>