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96C"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28DD" w:rsidRP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460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1B28DD">
        <w:rPr>
          <w:rFonts w:eastAsia="Times New Roman"/>
        </w:rPr>
        <w:t>AMENDED</w:t>
      </w:r>
      <w:r>
        <w:rPr>
          <w:rFonts w:eastAsia="Times New Roman"/>
        </w:rPr>
        <w:t>-RETURNED TO HOUSE</w:t>
      </w:r>
    </w:p>
    <w:p w:rsidR="001B28DD" w:rsidRDefault="00460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22</w:t>
      </w:r>
      <w:r w:rsidR="001B28DD">
        <w:rPr>
          <w:rFonts w:eastAsia="Times New Roman"/>
        </w:rPr>
        <w:t>, 2020</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Pr="001B28DD" w:rsidRDefault="001B28DD" w:rsidP="001B28DD">
      <w:pPr>
        <w:tabs>
          <w:tab w:val="right" w:pos="5933"/>
        </w:tabs>
        <w:suppressAutoHyphens/>
        <w:jc w:val="both"/>
        <w:rPr>
          <w:rFonts w:eastAsia="Times New Roman"/>
        </w:rPr>
      </w:pPr>
      <w:r>
        <w:rPr>
          <w:rFonts w:eastAsia="Times New Roman"/>
        </w:rPr>
        <w:tab/>
      </w:r>
      <w:r>
        <w:rPr>
          <w:rFonts w:eastAsia="Times New Roman"/>
          <w:b/>
          <w:sz w:val="36"/>
        </w:rPr>
        <w:t>S. 207</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4601AB" w:rsidP="00600C09">
      <w:pPr>
        <w:tabs>
          <w:tab w:val="right" w:pos="5933"/>
        </w:tabs>
        <w:suppressAutoHyphens/>
        <w:jc w:val="both"/>
        <w:rPr>
          <w:rFonts w:eastAsia="Times New Roman"/>
        </w:rPr>
      </w:pPr>
      <w:r>
        <w:rPr>
          <w:rFonts w:eastAsia="Times New Roman"/>
        </w:rPr>
        <w:t>S. Printed 9/22/20--S</w:t>
      </w:r>
      <w:r w:rsidR="001B28DD">
        <w:rPr>
          <w:rFonts w:eastAsia="Times New Roman"/>
        </w:rPr>
        <w:t>.</w:t>
      </w:r>
      <w:r w:rsidR="00600C09">
        <w:rPr>
          <w:rFonts w:eastAsia="Times New Roman"/>
        </w:rPr>
        <w:tab/>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1B28DD" w:rsidRP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28DD"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bookmarkEnd w:id="1"/>
    </w:p>
    <w:p w:rsidR="00522CE0"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sidR="00003DF2">
        <w:rPr>
          <w:color w:val="000000" w:themeColor="text1"/>
          <w:sz w:val="22"/>
          <w:szCs w:val="27"/>
          <w:u w:color="000000" w:themeColor="text1"/>
        </w:rPr>
        <w:tab/>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w:t>
      </w:r>
      <w:r w:rsidRPr="006B3B79">
        <w:rPr>
          <w:rFonts w:eastAsia="Times New Roman"/>
          <w:szCs w:val="20"/>
          <w:u w:color="000000" w:themeColor="text1"/>
        </w:rPr>
        <w:t>.A.</w:t>
      </w:r>
      <w:r w:rsidRPr="006B3B79">
        <w:rPr>
          <w:rFonts w:eastAsia="Times New Roman"/>
          <w:szCs w:val="20"/>
          <w:u w:color="000000" w:themeColor="text1"/>
        </w:rPr>
        <w:tab/>
        <w:t>Section 12</w:t>
      </w:r>
      <w:r w:rsidRPr="006B3B79">
        <w:rPr>
          <w:rFonts w:eastAsia="Times New Roman"/>
          <w:szCs w:val="20"/>
          <w:u w:color="000000" w:themeColor="text1"/>
        </w:rPr>
        <w:noBreakHyphen/>
        <w:t>37</w:t>
      </w:r>
      <w:r w:rsidRPr="006B3B79">
        <w:rPr>
          <w:rFonts w:eastAsia="Times New Roman"/>
          <w:szCs w:val="20"/>
          <w:u w:color="000000" w:themeColor="text1"/>
        </w:rPr>
        <w:noBreakHyphen/>
        <w:t>220(</w:t>
      </w:r>
      <w:bookmarkStart w:id="5" w:name="temp"/>
      <w:bookmarkEnd w:id="5"/>
      <w:r w:rsidRPr="006B3B79">
        <w:rPr>
          <w:rFonts w:eastAsia="Times New Roman"/>
          <w:szCs w:val="20"/>
          <w:u w:color="000000" w:themeColor="text1"/>
        </w:rPr>
        <w:t>B)(11)(e) of the 1976 Code is amended to read:</w:t>
      </w:r>
    </w:p>
    <w:p w:rsidR="001B28DD" w:rsidRPr="006B3B79"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B3B79">
        <w:rPr>
          <w:u w:color="000000" w:themeColor="text1"/>
        </w:rPr>
        <w:t xml:space="preserve">    “(e)    all property of nonprofit housing corporations or </w:t>
      </w:r>
      <w:r w:rsidRPr="006B3B79">
        <w:rPr>
          <w:strike/>
          <w:u w:color="000000" w:themeColor="text1"/>
        </w:rPr>
        <w:t>solely</w:t>
      </w:r>
      <w:r w:rsidRPr="006B3B79">
        <w:rPr>
          <w:strike/>
          <w:u w:color="000000" w:themeColor="text1"/>
        </w:rPr>
        <w:noBreakHyphen/>
        <w:t>owned</w:t>
      </w:r>
      <w:r w:rsidRPr="006B3B79">
        <w:rPr>
          <w:u w:color="000000" w:themeColor="text1"/>
        </w:rPr>
        <w:t xml:space="preserve"> instrumentalities of these corporations </w:t>
      </w:r>
      <w:r w:rsidRPr="006B3B79">
        <w:rPr>
          <w:strike/>
          <w:u w:color="000000" w:themeColor="text1"/>
        </w:rPr>
        <w:t>which</w:t>
      </w:r>
      <w:r w:rsidRPr="006B3B79">
        <w:rPr>
          <w:u w:color="000000" w:themeColor="text1"/>
        </w:rPr>
        <w:t xml:space="preserve"> </w:t>
      </w:r>
      <w:r w:rsidRPr="006B3B79">
        <w:rPr>
          <w:u w:val="single" w:color="000000" w:themeColor="text1"/>
        </w:rPr>
        <w:t>when the property</w:t>
      </w:r>
      <w:r w:rsidRPr="006B3B79">
        <w:rPr>
          <w:u w:color="000000" w:themeColor="text1"/>
        </w:rPr>
        <w:t xml:space="preserve"> is devoted to providing housing to low or very low income residents. A nonprofit housing corporation </w:t>
      </w:r>
      <w:r w:rsidRPr="006B3B79">
        <w:rPr>
          <w:u w:val="single" w:color="000000" w:themeColor="text1"/>
        </w:rPr>
        <w:t>or its instrumentality</w:t>
      </w:r>
      <w:r w:rsidRPr="006B3B79">
        <w:rPr>
          <w:u w:color="000000" w:themeColor="text1"/>
        </w:rPr>
        <w:t xml:space="preserve"> must satisfy the safe harbor provisions of Revenue Procedure 96</w:t>
      </w:r>
      <w:r w:rsidRPr="006B3B79">
        <w:rPr>
          <w:u w:color="000000" w:themeColor="text1"/>
        </w:rPr>
        <w:noBreakHyphen/>
        <w:t xml:space="preserve">32 issued by the Internal Revenue Service </w:t>
      </w:r>
      <w:r w:rsidRPr="006B3B79">
        <w:rPr>
          <w:strike/>
          <w:u w:color="000000" w:themeColor="text1"/>
        </w:rPr>
        <w:t>to qualify</w:t>
      </w:r>
      <w:r w:rsidRPr="006B3B79">
        <w:rPr>
          <w:u w:color="000000" w:themeColor="text1"/>
        </w:rPr>
        <w:t xml:space="preserve"> for this exemption </w:t>
      </w:r>
      <w:r w:rsidRPr="006B3B79">
        <w:rPr>
          <w:u w:val="single" w:color="000000" w:themeColor="text1"/>
        </w:rPr>
        <w:t>to apply. For purposes of this subitem, property of nonprofit housing corporations or instrumentalities of these corporations includes all leasehold interests in and improvements to property owned by an entity that provides housing accommodations to persons of low or very low income, and in which a</w:t>
      </w:r>
      <w:r w:rsidR="00600C09">
        <w:rPr>
          <w:u w:val="single" w:color="000000" w:themeColor="text1"/>
        </w:rPr>
        <w:t xml:space="preserve"> </w:t>
      </w:r>
      <w:r w:rsidRPr="006B3B79">
        <w:rPr>
          <w:u w:val="single" w:color="000000" w:themeColor="text1"/>
        </w:rPr>
        <w:t>wholly owned affiliate or wholly owned instrumentality of a nonprofit housing corporation is the general partner, managing member, or the equivalent. However, the exemption allowed by this subitem only applies if the property of nonprofit housing corporations or instrumentalities of these corporations satisfies the safe harbor provisions of Revenue Procedure 96</w:t>
      </w:r>
      <w:r w:rsidRPr="006B3B79">
        <w:rPr>
          <w:u w:val="single" w:color="000000" w:themeColor="text1"/>
        </w:rPr>
        <w:noBreakHyphen/>
        <w:t>32 issued by the Internal Revenue Service</w:t>
      </w:r>
      <w:r w:rsidRPr="006B3B79">
        <w:rPr>
          <w:u w:color="000000" w:themeColor="text1"/>
        </w:rPr>
        <w:t>;”</w:t>
      </w:r>
    </w:p>
    <w:p w:rsidR="004601AB" w:rsidRPr="006B3B79" w:rsidRDefault="004601AB"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B3B79">
        <w:rPr>
          <w:u w:color="000000" w:themeColor="text1"/>
        </w:rPr>
        <w:t>B.   This act takes effect upon approval by the Governor and applies to property tax years beginning after 2020</w:t>
      </w:r>
      <w:r w:rsidR="005916CD">
        <w:rPr>
          <w:u w:color="000000" w:themeColor="text1"/>
        </w:rPr>
        <w:t>.</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01AB" w:rsidRDefault="00687F11" w:rsidP="0046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004601AB">
        <w:rPr>
          <w:rFonts w:eastAsia="Times New Roman"/>
          <w:snapToGrid w:val="0"/>
          <w:szCs w:val="20"/>
        </w:rPr>
        <w:t>3.</w:t>
      </w:r>
      <w:r w:rsidR="004601AB">
        <w:rPr>
          <w:rFonts w:eastAsia="Times New Roman"/>
          <w:snapToGrid w:val="0"/>
          <w:szCs w:val="20"/>
        </w:rPr>
        <w:tab/>
        <w:t>Section 31-6-30(6) of the 1976 Code is amended to read:</w:t>
      </w:r>
    </w:p>
    <w:p w:rsidR="004601AB" w:rsidRDefault="004601AB" w:rsidP="0046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601AB" w:rsidRDefault="004601AB" w:rsidP="0046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Pr="003905A6">
        <w:t>(6)</w:t>
      </w:r>
      <w:r>
        <w:tab/>
        <w:t>‘Redevelopment project’</w:t>
      </w:r>
      <w:r w:rsidRPr="003905A6">
        <w:t xml:space="preserve"> means any buildings, improvements, including street, road, and highway improvements, water, sewer and storm drainage facilities, parking facilities, tourism and recreation</w:t>
      </w:r>
      <w:r w:rsidRPr="003905A6">
        <w:noBreakHyphen/>
        <w:t>related facilities, energy production or transmission infrastructure, communications technology, and public transportation infrastructure including, but not limited to, rail and airport facilities. Any project or undertaking authorized under Section 6</w:t>
      </w:r>
      <w:r w:rsidRPr="003905A6">
        <w:noBreakHyphen/>
        <w:t>21</w:t>
      </w:r>
      <w:r w:rsidRPr="003905A6">
        <w:noBreakHyphen/>
        <w:t>50 also may qualify as a redevelopment project under this chapter. All the projects are to be publicly owned. A redevelopment may be located outside of the redevelopment area provided the municipality makes specific findings of benefit to the redevelopment project area and the project area is located within the municipal limits. A redevelopment project for purposes of this chapter also includes affordable housing projects where all or a part of new property tax revenues generated in the tax increment financing district are used to provide or support publicly</w:t>
      </w:r>
      <w:r>
        <w:t xml:space="preserve"> </w:t>
      </w:r>
      <w:r>
        <w:rPr>
          <w:u w:val="single"/>
        </w:rPr>
        <w:t>and privately</w:t>
      </w:r>
      <w:r w:rsidRPr="003905A6">
        <w:t xml:space="preserve"> owned affordable housing in the district or is used to provide infrastructure projects to support</w:t>
      </w:r>
      <w:r>
        <w:t xml:space="preserve"> </w:t>
      </w:r>
      <w:r>
        <w:rPr>
          <w:u w:val="single"/>
        </w:rPr>
        <w:t>publicly and</w:t>
      </w:r>
      <w:r w:rsidRPr="003905A6">
        <w:t xml:space="preserve"> privately </w:t>
      </w:r>
      <w:r w:rsidRPr="003905A6">
        <w:lastRenderedPageBreak/>
        <w:t xml:space="preserve">owned affordable housing in the district. The term </w:t>
      </w:r>
      <w:r>
        <w:t>‘</w:t>
      </w:r>
      <w:r w:rsidRPr="003905A6">
        <w:t>affordable housing</w:t>
      </w:r>
      <w:r>
        <w:t>’</w:t>
      </w:r>
      <w:r w:rsidRPr="003905A6">
        <w:t xml:space="preserve"> as used herein means residential housing for rent or sale that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rPr>
          <w:rFonts w:eastAsia="Times New Roman"/>
          <w:snapToGrid w:val="0"/>
          <w:szCs w:val="20"/>
        </w:rPr>
        <w:t>”</w:t>
      </w:r>
    </w:p>
    <w:p w:rsidR="004601AB" w:rsidRDefault="00460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01AB">
        <w:rPr>
          <w:rFonts w:eastAsia="Times New Roman"/>
        </w:rPr>
        <w:t>4</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19DB" w:rsidRDefault="004D19DB" w:rsidP="004D19DB">
      <w:pPr>
        <w:suppressAutoHyphens/>
        <w:jc w:val="both"/>
        <w:rPr>
          <w:rFonts w:eastAsia="Times New Roman"/>
        </w:rPr>
      </w:pPr>
    </w:p>
    <w:sectPr w:rsidR="004D19DB"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EAB45C-9833-4EDE-A946-744EB31A2073}"/>
    <w:embedBold r:id="rId2" w:fontKey="{788A082D-A1CD-4375-9FBC-C78ED70DC7CE}"/>
  </w:font>
  <w:font w:name="Calibri">
    <w:panose1 w:val="020F0502020204030204"/>
    <w:charset w:val="00"/>
    <w:family w:val="swiss"/>
    <w:pitch w:val="variable"/>
    <w:sig w:usb0="E0002EFF" w:usb1="C000247B" w:usb2="00000009" w:usb3="00000000" w:csb0="000001FF" w:csb1="00000000"/>
    <w:embedRegular r:id="rId3" w:fontKey="{397818FE-231F-441E-8E74-DD1F2275235A}"/>
  </w:font>
  <w:font w:name="Cambria">
    <w:panose1 w:val="02040503050406030204"/>
    <w:charset w:val="00"/>
    <w:family w:val="roman"/>
    <w:pitch w:val="variable"/>
    <w:sig w:usb0="E00006FF" w:usb1="420024FF" w:usb2="02000000" w:usb3="00000000" w:csb0="0000019F" w:csb1="00000000"/>
    <w:embedRegular r:id="rId4" w:fontKey="{510B99C0-A07F-4D81-9463-62A45D9DB4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687F11">
      <w:rPr>
        <w:noProof/>
      </w:rPr>
      <w:t>1</w:t>
    </w:r>
    <w:r w:rsidR="0025049B">
      <w:fldChar w:fldCharType="end"/>
    </w:r>
    <w:r w:rsidR="0025049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4D19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03DF2"/>
    <w:rsid w:val="00042AC1"/>
    <w:rsid w:val="00046516"/>
    <w:rsid w:val="00072458"/>
    <w:rsid w:val="0007601D"/>
    <w:rsid w:val="000B0720"/>
    <w:rsid w:val="000B5EAF"/>
    <w:rsid w:val="001315B2"/>
    <w:rsid w:val="00170561"/>
    <w:rsid w:val="00186AC9"/>
    <w:rsid w:val="00197DF1"/>
    <w:rsid w:val="001B28DD"/>
    <w:rsid w:val="001B3DD9"/>
    <w:rsid w:val="001B7E5D"/>
    <w:rsid w:val="001D3BAC"/>
    <w:rsid w:val="00213EB5"/>
    <w:rsid w:val="00216025"/>
    <w:rsid w:val="00232235"/>
    <w:rsid w:val="00245C4E"/>
    <w:rsid w:val="0025049B"/>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01AB"/>
    <w:rsid w:val="00463589"/>
    <w:rsid w:val="004813A2"/>
    <w:rsid w:val="004952FA"/>
    <w:rsid w:val="004B6A22"/>
    <w:rsid w:val="004D19DB"/>
    <w:rsid w:val="004D7F37"/>
    <w:rsid w:val="005030C3"/>
    <w:rsid w:val="00522CE0"/>
    <w:rsid w:val="00541951"/>
    <w:rsid w:val="00565148"/>
    <w:rsid w:val="00570403"/>
    <w:rsid w:val="00576EC2"/>
    <w:rsid w:val="005916CD"/>
    <w:rsid w:val="00593361"/>
    <w:rsid w:val="005A413B"/>
    <w:rsid w:val="005A5017"/>
    <w:rsid w:val="005A648C"/>
    <w:rsid w:val="005F07AC"/>
    <w:rsid w:val="005F1745"/>
    <w:rsid w:val="00600C09"/>
    <w:rsid w:val="006866CD"/>
    <w:rsid w:val="00687F11"/>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9E4022"/>
    <w:rsid w:val="00A02011"/>
    <w:rsid w:val="00A36474"/>
    <w:rsid w:val="00A4011E"/>
    <w:rsid w:val="00A82B38"/>
    <w:rsid w:val="00A86015"/>
    <w:rsid w:val="00A9594E"/>
    <w:rsid w:val="00AE59C8"/>
    <w:rsid w:val="00B10098"/>
    <w:rsid w:val="00B5790D"/>
    <w:rsid w:val="00B945C5"/>
    <w:rsid w:val="00B9496C"/>
    <w:rsid w:val="00BA20EA"/>
    <w:rsid w:val="00BB5AFC"/>
    <w:rsid w:val="00BC0A56"/>
    <w:rsid w:val="00C10D80"/>
    <w:rsid w:val="00C45366"/>
    <w:rsid w:val="00C57023"/>
    <w:rsid w:val="00C7138E"/>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1A3CD5D"/>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3812</Characters>
  <Application>Microsoft Office Word</Application>
  <DocSecurity>0</DocSecurity>
  <Lines>110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(Sep. 22, 2020) - South Carolina Legislature Online</dc:title>
  <dc:subject/>
  <dc:creator>Sara Parrish</dc:creator>
  <cp:keywords/>
  <dc:description/>
  <cp:lastModifiedBy>David Brunson</cp:lastModifiedBy>
  <cp:revision>2</cp:revision>
  <dcterms:created xsi:type="dcterms:W3CDTF">2020-09-22T19:38:00Z</dcterms:created>
  <dcterms:modified xsi:type="dcterms:W3CDTF">2020-09-22T19:38:00Z</dcterms:modified>
</cp:coreProperties>
</file>