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8B5" w:rsidRDefault="005F28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2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AD20E4">
        <w:rPr>
          <w:color w:val="000000" w:themeColor="text1"/>
          <w:u w:color="000000" w:themeColor="text1"/>
        </w:rPr>
        <w:noBreakHyphen/>
      </w:r>
      <w:r w:rsidRPr="0021628B">
        <w:rPr>
          <w:color w:val="000000" w:themeColor="text1"/>
          <w:u w:color="000000" w:themeColor="text1"/>
        </w:rPr>
        <w:t>1</w:t>
      </w:r>
      <w:r w:rsidR="00AD20E4">
        <w:rPr>
          <w:color w:val="000000" w:themeColor="text1"/>
          <w:u w:color="000000" w:themeColor="text1"/>
        </w:rPr>
        <w:noBreakHyphen/>
      </w:r>
      <w:r w:rsidRPr="0021628B">
        <w:rPr>
          <w:color w:val="000000" w:themeColor="text1"/>
          <w:u w:color="000000" w:themeColor="text1"/>
        </w:rPr>
        <w:t>1790</w:t>
      </w:r>
      <w:r>
        <w:rPr>
          <w:color w:val="000000" w:themeColor="text1"/>
          <w:u w:color="000000" w:themeColor="text1"/>
        </w:rPr>
        <w:t xml:space="preserve">, </w:t>
      </w:r>
      <w:r w:rsidRPr="0021628B">
        <w:rPr>
          <w:color w:val="000000" w:themeColor="text1"/>
          <w:u w:color="000000" w:themeColor="text1"/>
        </w:rPr>
        <w:t xml:space="preserve">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AND TO AMEND SECTION 9</w:t>
      </w:r>
      <w:r w:rsidR="00AD20E4">
        <w:rPr>
          <w:color w:val="000000" w:themeColor="text1"/>
          <w:u w:color="000000" w:themeColor="text1"/>
        </w:rPr>
        <w:noBreakHyphen/>
      </w:r>
      <w:r w:rsidRPr="0021628B">
        <w:rPr>
          <w:color w:val="000000" w:themeColor="text1"/>
          <w:u w:color="000000" w:themeColor="text1"/>
        </w:rPr>
        <w:t>11</w:t>
      </w:r>
      <w:r w:rsidR="00AD20E4">
        <w:rPr>
          <w:color w:val="000000" w:themeColor="text1"/>
          <w:u w:color="000000" w:themeColor="text1"/>
        </w:rPr>
        <w:noBreakHyphen/>
      </w:r>
      <w:r w:rsidRPr="0021628B">
        <w:rPr>
          <w:color w:val="000000" w:themeColor="text1"/>
          <w:u w:color="000000" w:themeColor="text1"/>
        </w:rPr>
        <w:t>90</w:t>
      </w:r>
      <w:r>
        <w:rPr>
          <w:color w:val="000000" w:themeColor="text1"/>
          <w:u w:color="000000" w:themeColor="text1"/>
        </w:rPr>
        <w:t xml:space="preserve">, </w:t>
      </w:r>
      <w:r w:rsidRPr="0021628B">
        <w:rPr>
          <w:color w:val="000000" w:themeColor="text1"/>
          <w:u w:color="000000" w:themeColor="text1"/>
        </w:rPr>
        <w:t>RELATING TO THE AMOUNT OF COMPENSATION THAT MAY BE EARNED UPON RETURNING TO COVERED EMPLOYMENT UNDER THE POLICE OFFICER</w:t>
      </w:r>
      <w:r w:rsidR="00AD20E4">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2CE" w:rsidRDefault="00A21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2CE" w:rsidRDefault="00A21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D5F" w:rsidRPr="0021628B" w:rsidRDefault="00A212CE"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F3D5F">
        <w:tab/>
      </w:r>
      <w:r w:rsidR="001F3D5F" w:rsidRPr="0021628B">
        <w:rPr>
          <w:color w:val="000000" w:themeColor="text1"/>
          <w:u w:color="000000" w:themeColor="text1"/>
        </w:rPr>
        <w:t>Section 9</w:t>
      </w:r>
      <w:r w:rsidR="00AD20E4">
        <w:rPr>
          <w:color w:val="000000" w:themeColor="text1"/>
          <w:u w:color="000000" w:themeColor="text1"/>
        </w:rPr>
        <w:noBreakHyphen/>
      </w:r>
      <w:r w:rsidR="001F3D5F" w:rsidRPr="0021628B">
        <w:rPr>
          <w:color w:val="000000" w:themeColor="text1"/>
          <w:u w:color="000000" w:themeColor="text1"/>
        </w:rPr>
        <w:t>1</w:t>
      </w:r>
      <w:r w:rsidR="00AD20E4">
        <w:rPr>
          <w:color w:val="000000" w:themeColor="text1"/>
          <w:u w:color="000000" w:themeColor="text1"/>
        </w:rPr>
        <w:noBreakHyphen/>
      </w:r>
      <w:r w:rsidR="001F3D5F" w:rsidRPr="0021628B">
        <w:rPr>
          <w:color w:val="000000" w:themeColor="text1"/>
          <w:u w:color="000000" w:themeColor="text1"/>
        </w:rPr>
        <w:t>1790(A)</w:t>
      </w:r>
      <w:r w:rsidR="001F3D5F">
        <w:rPr>
          <w:color w:val="000000" w:themeColor="text1"/>
          <w:u w:color="000000" w:themeColor="text1"/>
        </w:rPr>
        <w:t>(2) of the 1976 Code</w:t>
      </w:r>
      <w:r w:rsidR="001F3D5F" w:rsidRPr="0021628B">
        <w:rPr>
          <w:color w:val="000000" w:themeColor="text1"/>
          <w:u w:color="000000" w:themeColor="text1"/>
        </w:rPr>
        <w:t xml:space="preserve"> is amended to read:</w:t>
      </w: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AD20E4">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sidR="00AD20E4">
        <w:rPr>
          <w:color w:val="000000" w:themeColor="text1"/>
          <w:u w:color="000000" w:themeColor="text1"/>
        </w:rPr>
        <w:noBreakHyphen/>
      </w:r>
      <w:r w:rsidRPr="0021628B">
        <w:rPr>
          <w:color w:val="000000" w:themeColor="text1"/>
          <w:u w:color="000000" w:themeColor="text1"/>
        </w:rPr>
        <w:t>11</w:t>
      </w:r>
      <w:r w:rsidR="00AD20E4">
        <w:rPr>
          <w:color w:val="000000" w:themeColor="text1"/>
          <w:u w:color="000000" w:themeColor="text1"/>
        </w:rPr>
        <w:noBreakHyphen/>
      </w:r>
      <w:r w:rsidRPr="0021628B">
        <w:rPr>
          <w:color w:val="000000" w:themeColor="text1"/>
          <w:u w:color="000000" w:themeColor="text1"/>
        </w:rPr>
        <w:t>90(4)</w:t>
      </w:r>
      <w:r w:rsidR="009B0E9C">
        <w:rPr>
          <w:color w:val="000000" w:themeColor="text1"/>
          <w:u w:color="000000" w:themeColor="text1"/>
        </w:rPr>
        <w:t>(a)</w:t>
      </w:r>
      <w:r w:rsidRPr="0021628B">
        <w:rPr>
          <w:color w:val="000000" w:themeColor="text1"/>
          <w:u w:color="000000" w:themeColor="text1"/>
        </w:rPr>
        <w:t xml:space="preserve"> of the 1976 Code is amended to read:</w:t>
      </w: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6541DF">
        <w:rPr>
          <w:color w:val="000000" w:themeColor="text1"/>
          <w:u w:color="000000" w:themeColor="text1"/>
        </w:rPr>
        <w:t>“(a)</w:t>
      </w:r>
      <w:r w:rsidRPr="006541DF">
        <w:rPr>
          <w:strike/>
          <w:color w:val="000000" w:themeColor="text1"/>
          <w:u w:color="000000" w:themeColor="text1"/>
        </w:rPr>
        <w:t>(i)</w:t>
      </w:r>
      <w:r w:rsidRPr="006541DF">
        <w:rPr>
          <w:color w:val="000000" w:themeColor="text1"/>
          <w:u w:color="000000" w:themeColor="text1"/>
        </w:rPr>
        <w:tab/>
        <w:t xml:space="preserve">Notwithstanding the provisions of subsections (1) and (2) of this section, a retired member of the system who has been retired for at least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may be hired and return to employment covered by this system or any system provided in this title </w:t>
      </w:r>
      <w:r w:rsidRPr="006541DF">
        <w:rPr>
          <w:strike/>
          <w:color w:val="000000" w:themeColor="text1"/>
          <w:u w:color="000000" w:themeColor="text1"/>
        </w:rPr>
        <w:t>and may earn up to ten thousand dollars</w:t>
      </w:r>
      <w:r w:rsidRPr="006541DF">
        <w:rPr>
          <w:color w:val="000000" w:themeColor="text1"/>
          <w:u w:color="000000" w:themeColor="text1"/>
        </w:rPr>
        <w:t xml:space="preserve"> without affecting the monthly retirement allowance the member is receiving from this system. </w:t>
      </w:r>
      <w:r w:rsidRPr="006541DF">
        <w:rPr>
          <w:strike/>
          <w:color w:val="000000" w:themeColor="text1"/>
          <w:u w:color="000000" w:themeColor="text1"/>
        </w:rPr>
        <w:t>If the retired member continues in service after having earned ten thousand dollars in a calendar year, the member</w:t>
      </w:r>
      <w:r w:rsidR="00AD20E4" w:rsidRPr="00AD20E4">
        <w:rPr>
          <w:strike/>
          <w:color w:val="000000" w:themeColor="text1"/>
          <w:u w:color="000000" w:themeColor="text1"/>
        </w:rPr>
        <w:t>’</w:t>
      </w:r>
      <w:r w:rsidRPr="006541DF">
        <w:rPr>
          <w:strike/>
          <w:color w:val="000000" w:themeColor="text1"/>
          <w:u w:color="000000" w:themeColor="text1"/>
        </w:rPr>
        <w:t>s retirement allowance must be discontinued during the member</w:t>
      </w:r>
      <w:r w:rsidR="00AD20E4" w:rsidRPr="00AD20E4">
        <w:rPr>
          <w:strike/>
          <w:color w:val="000000" w:themeColor="text1"/>
          <w:u w:color="000000" w:themeColor="text1"/>
        </w:rPr>
        <w:t>’</w:t>
      </w:r>
      <w:r w:rsidRPr="006541DF">
        <w:rPr>
          <w:strike/>
          <w:color w:val="000000" w:themeColor="text1"/>
          <w:u w:color="000000" w:themeColor="text1"/>
        </w:rPr>
        <w:t>s period of service in the remainder of the calendar year.</w:t>
      </w:r>
      <w:r w:rsidRPr="006541DF">
        <w:rPr>
          <w:color w:val="000000" w:themeColor="text1"/>
          <w:u w:color="000000" w:themeColor="text1"/>
        </w:rPr>
        <w:t xml:space="preserve"> If the employment continues for at least forty</w:t>
      </w:r>
      <w:r w:rsidR="00AD20E4">
        <w:rPr>
          <w:color w:val="000000" w:themeColor="text1"/>
          <w:u w:color="000000" w:themeColor="text1"/>
        </w:rPr>
        <w:noBreakHyphen/>
      </w:r>
      <w:r w:rsidRPr="006541DF">
        <w:rPr>
          <w:color w:val="000000" w:themeColor="text1"/>
          <w:u w:color="000000" w:themeColor="text1"/>
        </w:rPr>
        <w:t>eight consecutive months, the provisions of Section 9</w:t>
      </w:r>
      <w:r w:rsidR="00AD20E4">
        <w:rPr>
          <w:color w:val="000000" w:themeColor="text1"/>
          <w:u w:color="000000" w:themeColor="text1"/>
        </w:rPr>
        <w:noBreakHyphen/>
      </w:r>
      <w:r w:rsidRPr="006541DF">
        <w:rPr>
          <w:color w:val="000000" w:themeColor="text1"/>
          <w:u w:color="000000" w:themeColor="text1"/>
        </w:rPr>
        <w:t>11</w:t>
      </w:r>
      <w:r w:rsidR="00AD20E4">
        <w:rPr>
          <w:color w:val="000000" w:themeColor="text1"/>
          <w:u w:color="000000" w:themeColor="text1"/>
        </w:rPr>
        <w:noBreakHyphen/>
      </w:r>
      <w:r w:rsidRPr="006541DF">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after retirement, the member</w:t>
      </w:r>
      <w:r w:rsidR="00AD20E4" w:rsidRPr="00AD20E4">
        <w:rPr>
          <w:color w:val="000000" w:themeColor="text1"/>
          <w:u w:color="000000" w:themeColor="text1"/>
        </w:rPr>
        <w:t>’</w:t>
      </w:r>
      <w:r w:rsidRPr="006541DF">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AD20E4">
        <w:rPr>
          <w:strike/>
          <w:color w:val="000000" w:themeColor="text1"/>
          <w:u w:color="000000" w:themeColor="text1"/>
        </w:rPr>
        <w:noBreakHyphen/>
      </w:r>
      <w:r w:rsidRPr="0021628B">
        <w:rPr>
          <w:strike/>
          <w:color w:val="000000" w:themeColor="text1"/>
          <w:u w:color="000000" w:themeColor="text1"/>
        </w:rPr>
        <w:t>seven years at retirement; or</w:t>
      </w:r>
    </w:p>
    <w:p w:rsidR="001F3D5F" w:rsidRPr="0019388E"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541DF">
        <w:rPr>
          <w:color w:val="000000" w:themeColor="text1"/>
          <w:u w:color="000000" w:themeColor="text1"/>
        </w:rPr>
        <w:t>”</w:t>
      </w: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F39C5" w:rsidRDefault="00AD20E4" w:rsidP="00A2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8B5" w:rsidRDefault="005F28B5" w:rsidP="005F28B5">
      <w:pPr>
        <w:suppressAutoHyphens/>
      </w:pPr>
    </w:p>
    <w:sectPr w:rsidR="005F28B5" w:rsidSect="005F28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2CE" w:rsidRDefault="00A212CE" w:rsidP="009F0C77">
      <w:r>
        <w:separator/>
      </w:r>
    </w:p>
  </w:endnote>
  <w:endnote w:type="continuationSeparator" w:id="0">
    <w:p w:rsidR="00A212CE" w:rsidRDefault="00A212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C3506E-B9BD-46A9-A81D-69E1F551D19C}"/>
    <w:embedBold r:id="rId2" w:fontKey="{EFDB10C2-0FA2-4708-9412-94EF85D5D5B8}"/>
  </w:font>
  <w:font w:name="Calibri">
    <w:panose1 w:val="020F0502020204030204"/>
    <w:charset w:val="00"/>
    <w:family w:val="swiss"/>
    <w:pitch w:val="variable"/>
    <w:sig w:usb0="E00002FF" w:usb1="4000ACFF" w:usb2="00000001" w:usb3="00000000" w:csb0="0000019F" w:csb1="00000000"/>
    <w:embedRegular r:id="rId3" w:fontKey="{81F213B1-19EA-43F5-ABD2-742586DCC649}"/>
  </w:font>
  <w:font w:name="Cambria">
    <w:panose1 w:val="02040503050406030204"/>
    <w:charset w:val="00"/>
    <w:family w:val="roman"/>
    <w:pitch w:val="variable"/>
    <w:sig w:usb0="E00002FF" w:usb1="400004FF" w:usb2="00000000" w:usb3="00000000" w:csb0="0000019F" w:csb1="00000000"/>
    <w:embedRegular r:id="rId4" w:fontKey="{62C27A0E-7E77-4DF4-B2AE-A5B7D2B470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C5" w:rsidRPr="005F28B5" w:rsidRDefault="005F28B5" w:rsidP="005F28B5">
    <w:pPr>
      <w:pStyle w:val="Footer"/>
      <w:tabs>
        <w:tab w:val="clear" w:pos="4680"/>
        <w:tab w:val="clear" w:pos="9360"/>
        <w:tab w:val="center" w:pos="2995"/>
      </w:tabs>
      <w:spacing w:before="120"/>
    </w:pPr>
    <w:r>
      <w:t>[256]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2CE" w:rsidRDefault="00A212CE" w:rsidP="009F0C77">
      <w:r>
        <w:separator/>
      </w:r>
    </w:p>
  </w:footnote>
  <w:footnote w:type="continuationSeparator" w:id="0">
    <w:p w:rsidR="00A212CE" w:rsidRDefault="00A212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5SA19"/>
    <w:docVar w:name="CoverBillType" w:val="b"/>
    <w:docVar w:name="DocPath" w:val="L:\Council\bills\RT\17485SA19.DOCX"/>
    <w:docVar w:name="dvBillNumber" w:val="256"/>
    <w:docVar w:name="dvBillNumberPrefix" w:val="S. "/>
    <w:docVar w:name="dvOriginalBody" w:val="Senate"/>
    <w:docVar w:name="dvSteno" w:val="RT"/>
    <w:docVar w:name="NameofBody" w:val="s"/>
    <w:docVar w:name="vGroup2" w:val="Council"/>
  </w:docVars>
  <w:rsids>
    <w:rsidRoot w:val="00A212CE"/>
    <w:rsid w:val="000263D9"/>
    <w:rsid w:val="00026C9A"/>
    <w:rsid w:val="000965A1"/>
    <w:rsid w:val="000A164D"/>
    <w:rsid w:val="000C487D"/>
    <w:rsid w:val="000E1785"/>
    <w:rsid w:val="000F36F9"/>
    <w:rsid w:val="000F39F2"/>
    <w:rsid w:val="00100C39"/>
    <w:rsid w:val="001023A4"/>
    <w:rsid w:val="0010776B"/>
    <w:rsid w:val="00133E66"/>
    <w:rsid w:val="00134ACF"/>
    <w:rsid w:val="00144E15"/>
    <w:rsid w:val="001A4A62"/>
    <w:rsid w:val="001A681E"/>
    <w:rsid w:val="001D08F2"/>
    <w:rsid w:val="001F3D5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39C5"/>
    <w:rsid w:val="00400EAA"/>
    <w:rsid w:val="0041760A"/>
    <w:rsid w:val="004203D7"/>
    <w:rsid w:val="00447707"/>
    <w:rsid w:val="004809EE"/>
    <w:rsid w:val="004B2A8B"/>
    <w:rsid w:val="00511EE9"/>
    <w:rsid w:val="00521E00"/>
    <w:rsid w:val="00540156"/>
    <w:rsid w:val="00551A92"/>
    <w:rsid w:val="00577C6C"/>
    <w:rsid w:val="0058501B"/>
    <w:rsid w:val="005C5AC4"/>
    <w:rsid w:val="005F28B5"/>
    <w:rsid w:val="0061228A"/>
    <w:rsid w:val="006215AA"/>
    <w:rsid w:val="006340D9"/>
    <w:rsid w:val="00643B8E"/>
    <w:rsid w:val="00653ECC"/>
    <w:rsid w:val="00665EBC"/>
    <w:rsid w:val="00680479"/>
    <w:rsid w:val="0069470D"/>
    <w:rsid w:val="006A476C"/>
    <w:rsid w:val="006C6A93"/>
    <w:rsid w:val="006D3476"/>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6B1"/>
    <w:rsid w:val="008F4429"/>
    <w:rsid w:val="00932670"/>
    <w:rsid w:val="009352BB"/>
    <w:rsid w:val="00990668"/>
    <w:rsid w:val="009B0E9C"/>
    <w:rsid w:val="009B397B"/>
    <w:rsid w:val="009F0C77"/>
    <w:rsid w:val="009F4DD1"/>
    <w:rsid w:val="00A212CE"/>
    <w:rsid w:val="00A25284"/>
    <w:rsid w:val="00A64E80"/>
    <w:rsid w:val="00A741D9"/>
    <w:rsid w:val="00A85589"/>
    <w:rsid w:val="00A9741D"/>
    <w:rsid w:val="00AB0576"/>
    <w:rsid w:val="00AD20E4"/>
    <w:rsid w:val="00AD4B17"/>
    <w:rsid w:val="00B26FA6"/>
    <w:rsid w:val="00B5097E"/>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D26"/>
    <w:rsid w:val="00E87C1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E04D3-1382-406D-9B5A-0FAD49CD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CBF57-1CA7-4725-8683-335847EB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535</Words>
  <Characters>2774</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256 Text of Previous Version (Dec. 12, 2018) - South Carolina Legislature Online</dc:title>
  <dc:subject/>
  <dc:creator>Rebecca Turner</dc:creator>
  <cp:keywords/>
  <dc:description/>
  <cp:lastModifiedBy>S Volk</cp:lastModifiedBy>
  <cp:revision>2</cp:revision>
  <dcterms:created xsi:type="dcterms:W3CDTF">2018-12-12T22:33:00Z</dcterms:created>
  <dcterms:modified xsi:type="dcterms:W3CDTF">2018-12-12T22:33:00Z</dcterms:modified>
</cp:coreProperties>
</file>