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FA0" w:rsidRDefault="00F33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F33FA0" w:rsidRDefault="00F33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2019</w:t>
      </w:r>
    </w:p>
    <w:p w:rsidR="00F33FA0" w:rsidRDefault="00F33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FE7FFA" w:rsidP="00322602">
      <w:pPr>
        <w:tabs>
          <w:tab w:val="right" w:pos="5933"/>
        </w:tabs>
        <w:suppressAutoHyphens/>
      </w:pPr>
      <w:r>
        <w:t>S. Printed 5/7</w:t>
      </w:r>
      <w:r w:rsidR="00067884">
        <w:t>/19--S.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D6" w:rsidRDefault="00AF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1D6">
        <w:rPr>
          <w:color w:val="000000" w:themeColor="text1"/>
          <w:u w:color="000000" w:themeColor="text1"/>
        </w:rPr>
        <w:t>TO AMEND CHAPTER 27, TITLE 6, CODE OF LAWS OF SOUTH CAROLINA, 1976, RELATING TO THE STATE AID TO SUBDIVISIONS ACT, SO AS TO DELETE THE REQUIREMENT THAT THE FUND RECEIVE NO LESS THAN FOUR AND ONE</w:t>
      </w:r>
      <w:r w:rsidRPr="00AF41D6">
        <w:rPr>
          <w:color w:val="000000" w:themeColor="text1"/>
          <w:u w:color="000000" w:themeColor="text1"/>
        </w:rPr>
        <w:noBreakHyphen/>
        <w:t>HALF PERCENT OF THE GENERAL FUND REVENUES OF THE LATEST COMPLETED FISCAL YEAR, TO DELETE A PROVISION REGARDING MIDYEAR CUTS, TO PROVIDE THAT THE APPROPRIATION TO THE FUND MUST BE ADJUSTED BY THE SAME PERCENTAGE THAT GENERAL FUND REVENUES ARE PROJECTED TO INCREASE OR DECREASE, IF APPLICABLE, BUT NOT TO EXCEED FIVE PERCENT, TO REQUIRE THAT THE ADJUSTMENT, IF APPLICABLE, BE INCLUDED IN ALL STAGES OF THE BUDGET PROCESS, 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33FA0">
        <w:rPr>
          <w:rFonts w:eastAsia="Calibri"/>
          <w:szCs w:val="22"/>
        </w:rPr>
        <w:t>SECTION</w:t>
      </w:r>
      <w:r w:rsidRPr="00F33FA0">
        <w:rPr>
          <w:rFonts w:eastAsia="Calibri"/>
          <w:szCs w:val="22"/>
        </w:rPr>
        <w:tab/>
        <w:t>1.</w:t>
      </w:r>
      <w:r w:rsidRPr="00F33FA0">
        <w:rPr>
          <w:rFonts w:eastAsia="Calibri"/>
          <w:szCs w:val="22"/>
        </w:rPr>
        <w:tab/>
      </w:r>
      <w:r w:rsidRPr="00F33FA0">
        <w:rPr>
          <w:rFonts w:eastAsia="Calibri"/>
          <w:color w:val="000000"/>
          <w:szCs w:val="22"/>
          <w:u w:color="000000"/>
        </w:rPr>
        <w:t>Chapter 27, Title 6 of the 1976 Code is amended to read:</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sidRPr="00F33FA0">
        <w:rPr>
          <w:rFonts w:eastAsia="Calibri"/>
          <w:color w:val="000000"/>
          <w:szCs w:val="22"/>
          <w:u w:color="000000"/>
        </w:rPr>
        <w:t>“CHAPTER 27</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sidRPr="00F33FA0">
        <w:rPr>
          <w:rFonts w:eastAsia="Calibri"/>
          <w:color w:val="000000"/>
          <w:szCs w:val="22"/>
          <w:u w:color="000000"/>
        </w:rPr>
        <w:t>State Aid to Subdivisions Act</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33FA0">
        <w:rPr>
          <w:rFonts w:eastAsia="Calibri"/>
          <w:color w:val="000000"/>
          <w:szCs w:val="22"/>
          <w:u w:color="000000"/>
        </w:rPr>
        <w:tab/>
        <w:t>Section 6</w:t>
      </w:r>
      <w:r w:rsidRPr="00F33FA0">
        <w:rPr>
          <w:rFonts w:eastAsia="Calibri"/>
          <w:color w:val="000000"/>
          <w:szCs w:val="22"/>
          <w:u w:color="000000"/>
        </w:rPr>
        <w:noBreakHyphen/>
        <w:t>27</w:t>
      </w:r>
      <w:r w:rsidRPr="00F33FA0">
        <w:rPr>
          <w:rFonts w:eastAsia="Calibri"/>
          <w:color w:val="000000"/>
          <w:szCs w:val="22"/>
          <w:u w:color="000000"/>
        </w:rPr>
        <w:noBreakHyphen/>
        <w:t>10.</w:t>
      </w:r>
      <w:r w:rsidRPr="00F33FA0">
        <w:rPr>
          <w:rFonts w:eastAsia="Calibri"/>
          <w:color w:val="000000"/>
          <w:szCs w:val="22"/>
          <w:u w:color="000000"/>
        </w:rPr>
        <w:tab/>
        <w:t>This chapter may be cited as the ‘State Aid to Subdivisions Act’.</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33FA0">
        <w:rPr>
          <w:rFonts w:eastAsia="Calibri"/>
          <w:szCs w:val="22"/>
          <w:u w:color="000000"/>
        </w:rPr>
        <w:tab/>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lastRenderedPageBreak/>
        <w:tab/>
      </w:r>
      <w:r w:rsidRPr="00F33FA0">
        <w:rPr>
          <w:rFonts w:eastAsia="Calibri"/>
          <w:szCs w:val="22"/>
          <w:u w:color="000000"/>
        </w:rPr>
        <w:t>Section 6</w:t>
      </w:r>
      <w:r w:rsidRPr="00F33FA0">
        <w:rPr>
          <w:rFonts w:eastAsia="Calibri"/>
          <w:szCs w:val="22"/>
          <w:u w:color="000000"/>
        </w:rPr>
        <w:noBreakHyphen/>
        <w:t>27</w:t>
      </w:r>
      <w:r w:rsidRPr="00F33FA0">
        <w:rPr>
          <w:rFonts w:eastAsia="Calibri"/>
          <w:szCs w:val="22"/>
          <w:u w:color="000000"/>
        </w:rPr>
        <w:noBreakHyphen/>
        <w:t>20.</w:t>
      </w:r>
      <w:r w:rsidRPr="00F33FA0">
        <w:rPr>
          <w:rFonts w:eastAsia="Calibri"/>
          <w:szCs w:val="22"/>
          <w:u w:color="000000"/>
        </w:rPr>
        <w:tab/>
        <w:t>There is created the Local Government</w:t>
      </w:r>
      <w:r w:rsidRPr="00F33FA0">
        <w:rPr>
          <w:rFonts w:eastAsia="Calibri"/>
          <w:szCs w:val="22"/>
        </w:rPr>
        <w:t xml:space="preserve"> Fund</w:t>
      </w:r>
      <w:r w:rsidRPr="00F33FA0">
        <w:rPr>
          <w:rFonts w:eastAsia="Calibri"/>
          <w:szCs w:val="22"/>
          <w:u w:color="000000"/>
        </w:rPr>
        <w:t xml:space="preserve"> administered by the State Treasurer.  This fund is part of the general fund of the State.  </w:t>
      </w:r>
      <w:r w:rsidRPr="00F33FA0">
        <w:rPr>
          <w:rFonts w:eastAsia="Calibri"/>
          <w:strike/>
          <w:szCs w:val="22"/>
          <w:u w:color="000000"/>
        </w:rPr>
        <w:t>It is the intent of the General Assembly that this fund not be subject to mid</w:t>
      </w:r>
      <w:r w:rsidRPr="00F33FA0">
        <w:rPr>
          <w:rFonts w:eastAsia="Calibri"/>
          <w:strike/>
          <w:szCs w:val="22"/>
          <w:u w:color="000000"/>
        </w:rPr>
        <w:noBreakHyphen/>
        <w:t>year cuts.  However, if mid</w:t>
      </w:r>
      <w:r w:rsidRPr="00F33FA0">
        <w:rPr>
          <w:rFonts w:eastAsia="Calibri"/>
          <w:strike/>
          <w:szCs w:val="22"/>
          <w:u w:color="000000"/>
        </w:rPr>
        <w:noBreakHyphen/>
        <w:t>year cuts are mandated by the State Budget and Control Board to avoid a year</w:t>
      </w:r>
      <w:r w:rsidRPr="00F33FA0">
        <w:rPr>
          <w:rFonts w:eastAsia="Calibri"/>
          <w:strike/>
          <w:szCs w:val="22"/>
          <w:u w:color="000000"/>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F33FA0">
        <w:rPr>
          <w:rFonts w:eastAsia="Calibri"/>
          <w:szCs w:val="22"/>
          <w:u w:color="000000"/>
        </w:rPr>
        <w:t xml:space="preserve">  The Local Government</w:t>
      </w:r>
      <w:r w:rsidRPr="00F33FA0">
        <w:rPr>
          <w:rFonts w:eastAsia="Calibri"/>
          <w:szCs w:val="22"/>
        </w:rPr>
        <w:t xml:space="preserve"> </w:t>
      </w:r>
      <w:r w:rsidRPr="00F33FA0">
        <w:rPr>
          <w:rFonts w:eastAsia="Calibri"/>
          <w:szCs w:val="22"/>
          <w:u w:color="000000"/>
        </w:rPr>
        <w:t>Fund must be financed as provided in this chapter.</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33FA0">
        <w:rPr>
          <w:rFonts w:eastAsia="Calibri"/>
          <w:szCs w:val="22"/>
          <w:u w:color="000000"/>
        </w:rPr>
        <w:tab/>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Pr="00F33FA0">
        <w:rPr>
          <w:rFonts w:eastAsia="Calibri"/>
          <w:szCs w:val="22"/>
        </w:rPr>
        <w:t>Section 6</w:t>
      </w:r>
      <w:r w:rsidRPr="00F33FA0">
        <w:rPr>
          <w:rFonts w:eastAsia="Calibri"/>
          <w:szCs w:val="22"/>
        </w:rPr>
        <w:noBreakHyphen/>
        <w:t>27</w:t>
      </w:r>
      <w:r w:rsidRPr="00F33FA0">
        <w:rPr>
          <w:rFonts w:eastAsia="Calibri"/>
          <w:szCs w:val="22"/>
        </w:rPr>
        <w:noBreakHyphen/>
        <w:t>30.</w:t>
      </w:r>
      <w:r w:rsidRPr="00F33FA0">
        <w:rPr>
          <w:rFonts w:eastAsia="Calibri"/>
          <w:szCs w:val="22"/>
        </w:rPr>
        <w:tab/>
      </w:r>
      <w:r w:rsidRPr="00F33FA0">
        <w:rPr>
          <w:rFonts w:eastAsia="Calibri"/>
          <w:szCs w:val="22"/>
          <w:u w:val="single" w:color="000000"/>
        </w:rPr>
        <w:t>(A)</w:t>
      </w:r>
      <w:r w:rsidRPr="00F33FA0">
        <w:rPr>
          <w:rFonts w:eastAsia="Calibri"/>
          <w:szCs w:val="22"/>
        </w:rPr>
        <w:tab/>
        <w:t xml:space="preserve">In the annual general appropriations act, </w:t>
      </w:r>
      <w:r w:rsidRPr="00F33FA0">
        <w:rPr>
          <w:rFonts w:eastAsia="Calibri"/>
          <w:strike/>
          <w:szCs w:val="22"/>
        </w:rPr>
        <w:t>an amount equal to not less than four and one</w:t>
      </w:r>
      <w:r w:rsidRPr="00F33FA0">
        <w:rPr>
          <w:rFonts w:eastAsia="Calibri"/>
          <w:strike/>
          <w:szCs w:val="22"/>
        </w:rPr>
        <w:noBreakHyphen/>
        <w:t>half percent of general fund revenues of the latest completed fiscal year must be appropriated</w:t>
      </w:r>
      <w:r w:rsidRPr="00F33FA0">
        <w:rPr>
          <w:rFonts w:eastAsia="Calibri"/>
          <w:szCs w:val="22"/>
        </w:rPr>
        <w:t xml:space="preserve"> </w:t>
      </w:r>
      <w:r w:rsidRPr="00F33FA0">
        <w:rPr>
          <w:rFonts w:eastAsia="Calibri"/>
          <w:szCs w:val="22"/>
          <w:u w:val="single" w:color="000000"/>
        </w:rPr>
        <w:t>the General Assembly must appropriate funds</w:t>
      </w:r>
      <w:r w:rsidRPr="00F33FA0">
        <w:rPr>
          <w:rFonts w:eastAsia="Calibri"/>
          <w:szCs w:val="22"/>
        </w:rPr>
        <w:t xml:space="preserve"> to the Local Government Fund.</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33FA0">
        <w:rPr>
          <w:rFonts w:eastAsia="Calibri"/>
          <w:szCs w:val="22"/>
        </w:rPr>
        <w:tab/>
      </w:r>
      <w:r w:rsidRPr="00F33FA0">
        <w:rPr>
          <w:rFonts w:eastAsia="Calibri"/>
          <w:szCs w:val="22"/>
          <w:u w:val="single" w:color="000000"/>
        </w:rPr>
        <w:t>(B)(1)</w:t>
      </w:r>
      <w:r w:rsidRPr="00F33FA0">
        <w:rPr>
          <w:rFonts w:eastAsia="Calibri"/>
          <w:szCs w:val="22"/>
        </w:rPr>
        <w:tab/>
      </w:r>
      <w:r w:rsidRPr="00F33FA0">
        <w:rPr>
          <w:rFonts w:eastAsia="Calibri"/>
          <w:szCs w:val="22"/>
          <w:u w:val="single" w:color="000000"/>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F33FA0">
        <w:rPr>
          <w:rFonts w:eastAsia="Calibri"/>
          <w:szCs w:val="22"/>
          <w:u w:val="single" w:color="000000"/>
        </w:rPr>
        <w:noBreakHyphen/>
        <w:t>9</w:t>
      </w:r>
      <w:r w:rsidRPr="00F33FA0">
        <w:rPr>
          <w:rFonts w:eastAsia="Calibri"/>
          <w:szCs w:val="22"/>
          <w:u w:val="single" w:color="000000"/>
        </w:rPr>
        <w:noBreakHyphen/>
        <w:t xml:space="preserve">1130, the percentage adjustment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shall have any effect on that determination. </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33FA0">
        <w:rPr>
          <w:rFonts w:eastAsia="Calibri"/>
          <w:szCs w:val="22"/>
        </w:rPr>
        <w:tab/>
      </w:r>
      <w:r w:rsidRPr="00F33FA0">
        <w:rPr>
          <w:rFonts w:eastAsia="Calibri"/>
          <w:szCs w:val="22"/>
        </w:rPr>
        <w:tab/>
      </w:r>
      <w:r w:rsidRPr="00F33FA0">
        <w:rPr>
          <w:rFonts w:eastAsia="Calibri"/>
          <w:szCs w:val="22"/>
          <w:u w:val="single" w:color="000000"/>
        </w:rPr>
        <w:t>(2)</w:t>
      </w:r>
      <w:r w:rsidRPr="00F33FA0">
        <w:rPr>
          <w:rFonts w:eastAsia="Calibri"/>
          <w:szCs w:val="22"/>
        </w:rPr>
        <w:tab/>
      </w:r>
      <w:r w:rsidRPr="00F33FA0">
        <w:rPr>
          <w:rFonts w:eastAsia="Calibri"/>
          <w:szCs w:val="22"/>
          <w:u w:val="single" w:color="000000"/>
        </w:rPr>
        <w:t>The Governor shall include the appropriation required by this chapter to the Local Government Fund in the Executive Budget.</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33FA0">
        <w:rPr>
          <w:rFonts w:eastAsia="Calibri"/>
          <w:szCs w:val="22"/>
        </w:rPr>
        <w:lastRenderedPageBreak/>
        <w:tab/>
      </w:r>
      <w:r w:rsidRPr="00F33FA0">
        <w:rPr>
          <w:rFonts w:eastAsia="Calibri"/>
          <w:szCs w:val="22"/>
        </w:rPr>
        <w:tab/>
      </w:r>
      <w:r w:rsidRPr="00F33FA0">
        <w:rPr>
          <w:rFonts w:eastAsia="Calibri"/>
          <w:szCs w:val="22"/>
          <w:u w:val="single" w:color="000000"/>
        </w:rPr>
        <w:t>(3)</w:t>
      </w:r>
      <w:r w:rsidRPr="00F33FA0">
        <w:rPr>
          <w:rFonts w:eastAsia="Calibri"/>
          <w:szCs w:val="22"/>
        </w:rPr>
        <w:tab/>
      </w:r>
      <w:r w:rsidRPr="00F33FA0">
        <w:rPr>
          <w:rFonts w:eastAsia="Calibri"/>
          <w:szCs w:val="22"/>
          <w:u w:val="single" w:color="000000"/>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F33FA0">
        <w:rPr>
          <w:rFonts w:eastAsia="Calibri"/>
          <w:szCs w:val="22"/>
        </w:rPr>
        <w:tab/>
      </w:r>
      <w:r w:rsidRPr="00F33FA0">
        <w:rPr>
          <w:rFonts w:eastAsia="Calibri"/>
          <w:szCs w:val="22"/>
          <w:u w:val="single"/>
        </w:rPr>
        <w:t>(C)</w:t>
      </w:r>
      <w:r w:rsidRPr="00F33FA0">
        <w:rPr>
          <w:rFonts w:eastAsia="Calibri"/>
          <w:szCs w:val="22"/>
        </w:rPr>
        <w:tab/>
      </w:r>
      <w:r w:rsidRPr="00F33FA0">
        <w:rPr>
          <w:rFonts w:eastAsia="Calibri"/>
          <w:szCs w:val="22"/>
          <w:u w:val="single"/>
        </w:rPr>
        <w:t>For purposes of this section:</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1"/>
          <w:u w:val="single"/>
        </w:rPr>
      </w:pPr>
      <w:r w:rsidRPr="00F33FA0">
        <w:rPr>
          <w:rFonts w:eastAsia="Calibri"/>
          <w:szCs w:val="21"/>
        </w:rPr>
        <w:tab/>
      </w:r>
      <w:r w:rsidRPr="00F33FA0">
        <w:rPr>
          <w:rFonts w:eastAsia="Calibri"/>
          <w:szCs w:val="21"/>
        </w:rPr>
        <w:tab/>
      </w:r>
      <w:r w:rsidRPr="00F33FA0">
        <w:rPr>
          <w:rFonts w:eastAsia="Calibri"/>
          <w:szCs w:val="21"/>
          <w:u w:val="single"/>
        </w:rPr>
        <w:t>(1)</w:t>
      </w:r>
      <w:r w:rsidRPr="00F33FA0">
        <w:rPr>
          <w:rFonts w:eastAsia="Calibri"/>
          <w:szCs w:val="21"/>
        </w:rPr>
        <w:tab/>
      </w:r>
      <w:r w:rsidRPr="00F33FA0">
        <w:rPr>
          <w:rFonts w:eastAsia="Calibri"/>
          <w:szCs w:val="21"/>
          <w:u w:val="single"/>
        </w:rPr>
        <w:t>‘Recurring general fund revenue’ means the forecast of recurring general fund revenues pursuant to Section 11</w:t>
      </w:r>
      <w:r w:rsidRPr="00F33FA0">
        <w:rPr>
          <w:rFonts w:eastAsia="Calibri"/>
          <w:szCs w:val="21"/>
          <w:u w:val="single"/>
        </w:rPr>
        <w:noBreakHyphen/>
        <w:t>9</w:t>
      </w:r>
      <w:r w:rsidRPr="00F33FA0">
        <w:rPr>
          <w:rFonts w:eastAsia="Calibri"/>
          <w:szCs w:val="21"/>
          <w:u w:val="single"/>
        </w:rPr>
        <w:noBreakHyphen/>
        <w:t>1130 after the amount apportioned to the Trust Fund for Tax Relief, as required in Section 11</w:t>
      </w:r>
      <w:r w:rsidRPr="00F33FA0">
        <w:rPr>
          <w:rFonts w:eastAsia="Calibri"/>
          <w:szCs w:val="21"/>
          <w:u w:val="single"/>
        </w:rPr>
        <w:noBreakHyphen/>
        <w:t>11</w:t>
      </w:r>
      <w:r w:rsidRPr="00F33FA0">
        <w:rPr>
          <w:rFonts w:eastAsia="Calibri"/>
          <w:szCs w:val="21"/>
          <w:u w:val="single"/>
        </w:rPr>
        <w:noBreakHyphen/>
        <w:t>150, is deducted.</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F33FA0">
        <w:rPr>
          <w:rFonts w:eastAsia="Calibri"/>
          <w:szCs w:val="22"/>
        </w:rPr>
        <w:tab/>
      </w:r>
      <w:r w:rsidRPr="00F33FA0">
        <w:rPr>
          <w:rFonts w:eastAsia="Calibri"/>
          <w:szCs w:val="22"/>
        </w:rPr>
        <w:tab/>
      </w:r>
      <w:r w:rsidRPr="00F33FA0">
        <w:rPr>
          <w:rFonts w:eastAsia="Calibri"/>
          <w:szCs w:val="22"/>
          <w:u w:val="single"/>
        </w:rPr>
        <w:t>(2)</w:t>
      </w:r>
      <w:r w:rsidRPr="00F33FA0">
        <w:rPr>
          <w:rFonts w:eastAsia="Calibri"/>
          <w:szCs w:val="22"/>
        </w:rPr>
        <w:tab/>
      </w:r>
      <w:r w:rsidRPr="00F33FA0">
        <w:rPr>
          <w:rFonts w:eastAsia="Calibri"/>
          <w:szCs w:val="22"/>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F33FA0">
        <w:rPr>
          <w:rFonts w:eastAsia="Calibri"/>
          <w:szCs w:val="22"/>
          <w:u w:val="single"/>
        </w:rPr>
        <w:noBreakHyphen/>
        <w:t>9</w:t>
      </w:r>
      <w:r w:rsidRPr="00F33FA0">
        <w:rPr>
          <w:rFonts w:eastAsia="Calibri"/>
          <w:szCs w:val="22"/>
          <w:u w:val="single"/>
        </w:rPr>
        <w:noBreakHyphen/>
        <w:t>1140(B).</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33FA0">
        <w:rPr>
          <w:rFonts w:eastAsia="Calibri"/>
          <w:szCs w:val="22"/>
        </w:rPr>
        <w:tab/>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F33FA0">
        <w:rPr>
          <w:rFonts w:eastAsia="Calibri"/>
          <w:szCs w:val="22"/>
        </w:rPr>
        <w:t>Section 6</w:t>
      </w:r>
      <w:r w:rsidRPr="00F33FA0">
        <w:rPr>
          <w:rFonts w:eastAsia="Calibri"/>
          <w:szCs w:val="22"/>
        </w:rPr>
        <w:noBreakHyphen/>
        <w:t>27</w:t>
      </w:r>
      <w:r w:rsidRPr="00F33FA0">
        <w:rPr>
          <w:rFonts w:eastAsia="Calibri"/>
          <w:szCs w:val="22"/>
        </w:rPr>
        <w:noBreakHyphen/>
        <w:t>40.</w:t>
      </w:r>
      <w:r w:rsidRPr="00F33FA0">
        <w:rPr>
          <w:rFonts w:eastAsia="Calibri"/>
          <w:szCs w:val="22"/>
        </w:rPr>
        <w:tab/>
        <w:t>(A)</w:t>
      </w:r>
      <w:r w:rsidRPr="00F33FA0">
        <w:rPr>
          <w:rFonts w:eastAsia="Calibri"/>
          <w:szCs w:val="22"/>
        </w:rPr>
        <w:tab/>
        <w:t>Not later than thirty days after the end of the calendar quarter, the State Treasurer shall distribute the monies appropriated to the Local Government Fund as follows:</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33FA0">
        <w:rPr>
          <w:rFonts w:eastAsia="Calibri"/>
          <w:szCs w:val="22"/>
        </w:rPr>
        <w:tab/>
      </w:r>
      <w:r w:rsidRPr="00F33FA0">
        <w:rPr>
          <w:rFonts w:eastAsia="Calibri"/>
          <w:szCs w:val="22"/>
        </w:rPr>
        <w:tab/>
        <w:t>(1)</w:t>
      </w:r>
      <w:r w:rsidRPr="00F33FA0">
        <w:rPr>
          <w:rFonts w:eastAsia="Calibri"/>
          <w:szCs w:val="22"/>
        </w:rPr>
        <w:tab/>
        <w:t>Eighty</w:t>
      </w:r>
      <w:r w:rsidRPr="00F33FA0">
        <w:rPr>
          <w:rFonts w:eastAsia="Calibri"/>
          <w:szCs w:val="22"/>
        </w:rPr>
        <w:noBreakHyphen/>
        <w:t>three and two hundred seventy</w:t>
      </w:r>
      <w:r w:rsidRPr="00F33FA0">
        <w:rPr>
          <w:rFonts w:eastAsia="Calibri"/>
          <w:szCs w:val="22"/>
        </w:rPr>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33FA0">
        <w:rPr>
          <w:rFonts w:eastAsia="Calibri"/>
          <w:szCs w:val="22"/>
        </w:rPr>
        <w:tab/>
      </w:r>
      <w:r w:rsidRPr="00F33FA0">
        <w:rPr>
          <w:rFonts w:eastAsia="Calibri"/>
          <w:szCs w:val="22"/>
        </w:rPr>
        <w:tab/>
        <w:t>(2)</w:t>
      </w:r>
      <w:r w:rsidRPr="00F33FA0">
        <w:rPr>
          <w:rFonts w:eastAsia="Calibri"/>
          <w:szCs w:val="22"/>
        </w:rPr>
        <w:tab/>
        <w:t>Sixteen and seven hundred twenty</w:t>
      </w:r>
      <w:r w:rsidRPr="00F33FA0">
        <w:rPr>
          <w:rFonts w:eastAsia="Calibri"/>
          <w:szCs w:val="22"/>
        </w:rPr>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33FA0">
        <w:rPr>
          <w:rFonts w:eastAsia="Calibri"/>
          <w:color w:val="000000"/>
          <w:szCs w:val="22"/>
          <w:u w:color="000000"/>
        </w:rPr>
        <w:tab/>
        <w:t>(B)</w:t>
      </w:r>
      <w:r w:rsidRPr="00F33FA0">
        <w:rPr>
          <w:rFonts w:eastAsia="Calibri"/>
          <w:color w:val="000000"/>
          <w:szCs w:val="22"/>
          <w:u w:color="000000"/>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Pr="00F33FA0">
        <w:rPr>
          <w:rFonts w:eastAsia="Calibri"/>
          <w:color w:val="000000"/>
          <w:szCs w:val="22"/>
          <w:u w:color="000000"/>
        </w:rPr>
        <w:noBreakHyphen/>
        <w:t>five percent of the revenue derived pursuant to Section 12</w:t>
      </w:r>
      <w:r w:rsidRPr="00F33FA0">
        <w:rPr>
          <w:rFonts w:eastAsia="Calibri"/>
          <w:color w:val="000000"/>
          <w:szCs w:val="22"/>
          <w:u w:color="000000"/>
        </w:rPr>
        <w:noBreakHyphen/>
        <w:t>33</w:t>
      </w:r>
      <w:r w:rsidRPr="00F33FA0">
        <w:rPr>
          <w:rFonts w:eastAsia="Calibri"/>
          <w:color w:val="000000"/>
          <w:szCs w:val="22"/>
          <w:u w:color="000000"/>
        </w:rPr>
        <w:noBreakHyphen/>
        <w:t>245 allocated on a per capita basis according to the most recent United States Census.</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33FA0">
        <w:rPr>
          <w:rFonts w:eastAsia="Calibri"/>
          <w:color w:val="000000"/>
          <w:szCs w:val="22"/>
          <w:u w:color="000000"/>
        </w:rPr>
        <w:tab/>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F33FA0">
        <w:rPr>
          <w:rFonts w:eastAsia="Calibri"/>
          <w:strike/>
          <w:color w:val="000000"/>
          <w:szCs w:val="22"/>
          <w:u w:color="000000"/>
        </w:rPr>
        <w:t>Section 6</w:t>
      </w:r>
      <w:r w:rsidRPr="00F33FA0">
        <w:rPr>
          <w:rFonts w:eastAsia="Calibri"/>
          <w:strike/>
          <w:color w:val="000000"/>
          <w:szCs w:val="22"/>
          <w:u w:color="000000"/>
        </w:rPr>
        <w:noBreakHyphen/>
        <w:t>27</w:t>
      </w:r>
      <w:r w:rsidRPr="00F33FA0">
        <w:rPr>
          <w:rFonts w:eastAsia="Calibri"/>
          <w:strike/>
          <w:color w:val="000000"/>
          <w:szCs w:val="22"/>
          <w:u w:color="000000"/>
        </w:rPr>
        <w:noBreakHyphen/>
        <w:t>50.</w:t>
      </w:r>
      <w:r w:rsidRPr="00F33FA0">
        <w:rPr>
          <w:rFonts w:eastAsia="Calibri"/>
          <w:color w:val="000000"/>
          <w:szCs w:val="22"/>
          <w:u w:color="000000"/>
        </w:rPr>
        <w:tab/>
      </w:r>
      <w:r w:rsidRPr="00F33FA0">
        <w:rPr>
          <w:rFonts w:eastAsia="Calibri"/>
          <w:strike/>
          <w:color w:val="000000"/>
          <w:szCs w:val="22"/>
          <w:u w:color="000000"/>
        </w:rPr>
        <w:t>No section of this chapter may be amended or repealed except in separate legislation solely for that purpose.</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33FA0">
        <w:rPr>
          <w:rFonts w:eastAsia="Calibri"/>
          <w:color w:val="000000"/>
          <w:szCs w:val="22"/>
          <w:u w:color="000000"/>
        </w:rPr>
        <w:tab/>
      </w:r>
    </w:p>
    <w:p w:rsidR="00F33FA0" w:rsidRP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lastRenderedPageBreak/>
        <w:tab/>
      </w:r>
      <w:r w:rsidRPr="00F33FA0">
        <w:rPr>
          <w:rFonts w:eastAsia="Calibri"/>
          <w:color w:val="000000"/>
          <w:szCs w:val="22"/>
          <w:u w:color="000000"/>
        </w:rPr>
        <w:t>Section 6</w:t>
      </w:r>
      <w:r w:rsidRPr="00F33FA0">
        <w:rPr>
          <w:rFonts w:eastAsia="Calibri"/>
          <w:color w:val="000000"/>
          <w:szCs w:val="22"/>
          <w:u w:color="000000"/>
        </w:rPr>
        <w:noBreakHyphen/>
        <w:t>27</w:t>
      </w:r>
      <w:r w:rsidRPr="00F33FA0">
        <w:rPr>
          <w:rFonts w:eastAsia="Calibri"/>
          <w:color w:val="000000"/>
          <w:szCs w:val="22"/>
          <w:u w:color="000000"/>
        </w:rPr>
        <w:noBreakHyphen/>
        <w:t>55.</w:t>
      </w:r>
      <w:r w:rsidRPr="00F33FA0">
        <w:rPr>
          <w:rFonts w:eastAsia="Calibri"/>
          <w:color w:val="000000"/>
          <w:szCs w:val="22"/>
          <w:u w:color="000000"/>
        </w:rPr>
        <w:tab/>
        <w:t>From funds distributed to the county pursuant to Section 6</w:t>
      </w:r>
      <w:r w:rsidRPr="00F33FA0">
        <w:rPr>
          <w:rFonts w:eastAsia="Calibri"/>
          <w:color w:val="000000"/>
          <w:szCs w:val="22"/>
          <w:u w:color="000000"/>
        </w:rPr>
        <w:noBreakHyphen/>
        <w:t>27</w:t>
      </w:r>
      <w:r w:rsidRPr="00F33FA0">
        <w:rPr>
          <w:rFonts w:eastAsia="Calibri"/>
          <w:color w:val="000000"/>
          <w:szCs w:val="22"/>
          <w:u w:color="000000"/>
        </w:rPr>
        <w:noBreakHyphen/>
        <w:t>40, a county council shall provide a reasonable amount of funds for all county offices of state agencies for which the council is required to provide funding by state law.”</w:t>
      </w:r>
    </w:p>
    <w:p w:rsidR="00F33FA0" w:rsidRDefault="00F33FA0"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F33FA0">
        <w:rPr>
          <w:rFonts w:eastAsia="Calibri"/>
          <w:color w:val="000000"/>
          <w:szCs w:val="22"/>
          <w:u w:color="000000"/>
        </w:rPr>
        <w:tab/>
      </w:r>
    </w:p>
    <w:p w:rsidR="004D04CC" w:rsidRPr="00AF41D6" w:rsidRDefault="00F33FA0" w:rsidP="00AF4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F33FA0">
        <w:rPr>
          <w:rFonts w:eastAsia="Calibri"/>
          <w:color w:val="000000"/>
          <w:szCs w:val="22"/>
          <w:u w:color="000000"/>
        </w:rPr>
        <w:t>SECTION</w:t>
      </w:r>
      <w:r w:rsidRPr="00F33FA0">
        <w:rPr>
          <w:rFonts w:eastAsia="Calibri"/>
          <w:color w:val="000000"/>
          <w:szCs w:val="22"/>
          <w:u w:color="000000"/>
        </w:rPr>
        <w:tab/>
      </w:r>
      <w:r w:rsidRPr="00F33FA0">
        <w:rPr>
          <w:rFonts w:eastAsia="Calibri"/>
          <w:snapToGrid w:val="0"/>
          <w:szCs w:val="22"/>
        </w:rPr>
        <w:t>2.</w:t>
      </w:r>
      <w:r w:rsidRPr="00F33FA0">
        <w:rPr>
          <w:rFonts w:eastAsia="Calibri"/>
          <w:snapToGrid w:val="0"/>
          <w:szCs w:val="22"/>
        </w:rPr>
        <w:tab/>
      </w:r>
      <w:r w:rsidRPr="00F33FA0">
        <w:rPr>
          <w:rFonts w:eastAsia="Calibri"/>
          <w:szCs w:val="22"/>
        </w:rPr>
        <w:t>This act takes effect upon approval by the Governor and first applies to the annual general appropriations bill process for Fiscal Year 2020</w:t>
      </w:r>
      <w:r w:rsidRPr="00F33FA0">
        <w:rPr>
          <w:rFonts w:eastAsia="Calibri"/>
          <w:szCs w:val="22"/>
        </w:rPr>
        <w:noBreakHyphen/>
        <w:t>2021.</w:t>
      </w:r>
    </w:p>
    <w:p w:rsidR="00AF41D6" w:rsidRDefault="00AF41D6" w:rsidP="00F3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41D6" w:rsidRDefault="00AF41D6" w:rsidP="00AF41D6">
      <w:pPr>
        <w:pStyle w:val="ConSign"/>
        <w:tabs>
          <w:tab w:val="clear" w:pos="216"/>
          <w:tab w:val="clear" w:pos="4680"/>
          <w:tab w:val="clear" w:pos="4896"/>
          <w:tab w:val="left" w:pos="187"/>
          <w:tab w:val="left" w:pos="3060"/>
          <w:tab w:val="left" w:pos="3427"/>
        </w:tabs>
        <w:spacing w:line="240" w:lineRule="auto"/>
      </w:pPr>
      <w:r>
        <w:t>/s/Sen. Ronnie W. Cromer</w:t>
      </w:r>
      <w:r>
        <w:tab/>
        <w:t>Rep. Gilda Yevette Cobb</w:t>
      </w:r>
      <w:r>
        <w:noBreakHyphen/>
        <w:t>Hunter</w:t>
      </w:r>
    </w:p>
    <w:p w:rsidR="00AF41D6" w:rsidRDefault="00AF41D6" w:rsidP="00AF41D6">
      <w:pPr>
        <w:pStyle w:val="ConSign"/>
        <w:tabs>
          <w:tab w:val="clear" w:pos="216"/>
          <w:tab w:val="clear" w:pos="4680"/>
          <w:tab w:val="clear" w:pos="4896"/>
          <w:tab w:val="left" w:pos="187"/>
          <w:tab w:val="left" w:pos="3150"/>
          <w:tab w:val="left" w:pos="3427"/>
        </w:tabs>
        <w:spacing w:line="240" w:lineRule="auto"/>
      </w:pPr>
      <w:r>
        <w:t>/s/Sen. John L. Scott, Jr.</w:t>
      </w:r>
      <w:r>
        <w:tab/>
        <w:t>/s/Rep. Bruce Wyche Bannister</w:t>
      </w:r>
    </w:p>
    <w:p w:rsidR="00AF41D6" w:rsidRDefault="00AF41D6" w:rsidP="00AF41D6">
      <w:pPr>
        <w:pStyle w:val="ConSign"/>
        <w:tabs>
          <w:tab w:val="clear" w:pos="216"/>
          <w:tab w:val="clear" w:pos="4680"/>
          <w:tab w:val="clear" w:pos="4896"/>
          <w:tab w:val="left" w:pos="187"/>
          <w:tab w:val="left" w:pos="3240"/>
          <w:tab w:val="left" w:pos="3427"/>
        </w:tabs>
        <w:spacing w:line="240" w:lineRule="auto"/>
      </w:pPr>
      <w:r>
        <w:t>/s/Sen. Thomas D. "Tom" Corbin</w:t>
      </w:r>
      <w:r>
        <w:tab/>
        <w:t>/s/Rep. Kirkman Finlay, III</w:t>
      </w:r>
    </w:p>
    <w:p w:rsidR="00AF41D6" w:rsidRDefault="00AF41D6" w:rsidP="00AF41D6">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AF41D6" w:rsidRDefault="00AF41D6" w:rsidP="00AF41D6">
      <w:pPr>
        <w:tabs>
          <w:tab w:val="left" w:pos="187"/>
          <w:tab w:val="left" w:pos="3240"/>
          <w:tab w:val="left" w:pos="3427"/>
        </w:tabs>
      </w:pPr>
    </w:p>
    <w:p w:rsidR="00F94A40" w:rsidRDefault="00AF41D6" w:rsidP="00F94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94A40"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8A045-2022-4D5F-B2E7-F99E7707E769}"/>
    <w:embedBold r:id="rId2" w:fontKey="{95781EC1-35C6-4CE7-AB05-2D5BD1C3DDA5}"/>
  </w:font>
  <w:font w:name="Calibri">
    <w:panose1 w:val="020F0502020204030204"/>
    <w:charset w:val="00"/>
    <w:family w:val="swiss"/>
    <w:pitch w:val="variable"/>
    <w:sig w:usb0="E00002FF" w:usb1="4000ACFF" w:usb2="00000001" w:usb3="00000000" w:csb0="0000019F" w:csb1="00000000"/>
    <w:embedRegular r:id="rId3" w:fontKey="{245426EA-8A6B-43DA-A1D0-22A5827EE96F}"/>
  </w:font>
  <w:font w:name="Segoe UI">
    <w:panose1 w:val="020B0502040204020203"/>
    <w:charset w:val="00"/>
    <w:family w:val="swiss"/>
    <w:pitch w:val="variable"/>
    <w:sig w:usb0="E10022FF" w:usb1="C000E47F" w:usb2="00000029" w:usb3="00000000" w:csb0="000001DF" w:csb1="00000000"/>
    <w:embedRegular r:id="rId4" w:fontKey="{B61B1A18-3611-46E2-B122-AC8036ED2DE4}"/>
  </w:font>
  <w:font w:name="Cambria">
    <w:panose1 w:val="02040503050406030204"/>
    <w:charset w:val="00"/>
    <w:family w:val="roman"/>
    <w:pitch w:val="variable"/>
    <w:sig w:usb0="E00002FF" w:usb1="400004FF" w:usb2="00000000" w:usb3="00000000" w:csb0="0000019F" w:csb1="00000000"/>
    <w:embedRegular r:id="rId5" w:fontKey="{FB442D60-A500-493E-980B-24CA6E8D4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F94A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F94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2602"/>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A00EC"/>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AF41D6"/>
    <w:rsid w:val="00B05555"/>
    <w:rsid w:val="00B412D4"/>
    <w:rsid w:val="00B86D0A"/>
    <w:rsid w:val="00BD216E"/>
    <w:rsid w:val="00BE3C22"/>
    <w:rsid w:val="00C0345E"/>
    <w:rsid w:val="00C31C95"/>
    <w:rsid w:val="00C3483A"/>
    <w:rsid w:val="00C54696"/>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33FA0"/>
    <w:rsid w:val="00F50AE3"/>
    <w:rsid w:val="00F521B3"/>
    <w:rsid w:val="00F630C1"/>
    <w:rsid w:val="00F655B7"/>
    <w:rsid w:val="00F656BA"/>
    <w:rsid w:val="00F67CF1"/>
    <w:rsid w:val="00F728AA"/>
    <w:rsid w:val="00F840F0"/>
    <w:rsid w:val="00F94A40"/>
    <w:rsid w:val="00FB0D0D"/>
    <w:rsid w:val="00FB43B4"/>
    <w:rsid w:val="00FB6B0B"/>
    <w:rsid w:val="00FE7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 w:type="paragraph" w:customStyle="1" w:styleId="ConSign">
    <w:name w:val="ConSign"/>
    <w:basedOn w:val="Normal"/>
    <w:rsid w:val="00AF41D6"/>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5B60B-448D-4CDF-ABDE-2660E353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5</Pages>
  <Words>1130</Words>
  <Characters>6050</Characters>
  <Application>Microsoft Office Word</Application>
  <DocSecurity>0</DocSecurity>
  <Lines>165</Lines>
  <Paragraphs>35</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(May 20, 2019) - South Carolina Legislature Online</dc:title>
  <dc:creator>Niki Downey</dc:creator>
  <cp:lastModifiedBy>Derrick Williamson</cp:lastModifiedBy>
  <cp:revision>2</cp:revision>
  <cp:lastPrinted>2019-05-20T17:12:00Z</cp:lastPrinted>
  <dcterms:created xsi:type="dcterms:W3CDTF">2019-05-20T19:40:00Z</dcterms:created>
  <dcterms:modified xsi:type="dcterms:W3CDTF">2019-05-20T19:40:00Z</dcterms:modified>
</cp:coreProperties>
</file>