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C43" w:rsidRDefault="00202C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2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2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1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80E9C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>
        <w:rPr>
          <w:color w:val="000000" w:themeColor="text1"/>
          <w:u w:color="000000" w:themeColor="text1"/>
        </w:rPr>
        <w:noBreakHyphen/>
      </w:r>
      <w:r w:rsidRPr="00E80E9C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E80E9C">
        <w:rPr>
          <w:color w:val="000000" w:themeColor="text1"/>
          <w:u w:color="000000" w:themeColor="text1"/>
        </w:rPr>
        <w:t>130 SO AS TO REQUIRE A PRIVATE OR PUBLIC UTILITY OR MUNICIPALITY OPERATING A PUBLIC WATER SYSTEM TO PROVIDE THE AVERAGE WATER PURIFICATION LEVELS ON THE CUSTOMER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>S WATER BILL.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2EB" w:rsidRDefault="00B80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02EB" w:rsidRDefault="00B80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must be known and may be cited as the “Safe Water Act”. 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D36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9D1D36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  <w:t>55</w:t>
      </w:r>
      <w:r>
        <w:rPr>
          <w:color w:val="000000" w:themeColor="text1"/>
          <w:u w:color="000000" w:themeColor="text1"/>
        </w:rPr>
        <w:noBreakHyphen/>
        <w:t>130.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A private or public utility or municipality operating a public water system must provide the average water purification levels on the customer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 xml:space="preserve">s water bill. The utility or municipality may: 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include the report on the bill; or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publish the information in a conspicuous place on the utility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>s or municipality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>s website and publish the we</w:t>
      </w:r>
      <w:r>
        <w:rPr>
          <w:color w:val="000000" w:themeColor="text1"/>
          <w:u w:color="000000" w:themeColor="text1"/>
        </w:rPr>
        <w:t>bsite link on the monthly bill.”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2EB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80E9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032F8A" w:rsidRDefault="009D1D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2C43" w:rsidRDefault="00202C43" w:rsidP="00202C43">
      <w:pPr>
        <w:suppressAutoHyphens/>
      </w:pPr>
    </w:p>
    <w:sectPr w:rsidR="00202C43" w:rsidSect="00202C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2EB" w:rsidRDefault="00B802EB" w:rsidP="009F0C77">
      <w:r>
        <w:separator/>
      </w:r>
    </w:p>
  </w:endnote>
  <w:endnote w:type="continuationSeparator" w:id="0">
    <w:p w:rsidR="00B802EB" w:rsidRDefault="00B802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F28321-94DD-4760-BFB4-11FBD2EA55D0}"/>
    <w:embedBold r:id="rId2" w:fontKey="{4CC94A99-1DF3-4920-B5B0-D6F491EFBF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003368-A037-409B-938A-C004A0B519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4D6F03-9E67-4A94-B078-45D8545F49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F8A" w:rsidRPr="00202C43" w:rsidRDefault="00202C43" w:rsidP="00202C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2EB" w:rsidRDefault="00B802EB" w:rsidP="009F0C77">
      <w:r>
        <w:separator/>
      </w:r>
    </w:p>
  </w:footnote>
  <w:footnote w:type="continuationSeparator" w:id="0">
    <w:p w:rsidR="00B802EB" w:rsidRDefault="00B802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7CZ19"/>
    <w:docVar w:name="CoverBillType" w:val="b"/>
    <w:docVar w:name="DocPath" w:val="L:\Council\bills\NBD\11117CZ19.DOCX"/>
    <w:docVar w:name="dvBillNumber" w:val="337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02EB"/>
    <w:rsid w:val="00011869"/>
    <w:rsid w:val="00015CD6"/>
    <w:rsid w:val="00032F8A"/>
    <w:rsid w:val="000E0100"/>
    <w:rsid w:val="000E1785"/>
    <w:rsid w:val="000F40FA"/>
    <w:rsid w:val="001035F1"/>
    <w:rsid w:val="0010776B"/>
    <w:rsid w:val="00133E66"/>
    <w:rsid w:val="001435A3"/>
    <w:rsid w:val="001459A6"/>
    <w:rsid w:val="00146ED3"/>
    <w:rsid w:val="00151044"/>
    <w:rsid w:val="001D08F2"/>
    <w:rsid w:val="001D3A58"/>
    <w:rsid w:val="001D525B"/>
    <w:rsid w:val="001D7F4F"/>
    <w:rsid w:val="00202C4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305A"/>
    <w:rsid w:val="008F0F33"/>
    <w:rsid w:val="008F4429"/>
    <w:rsid w:val="0094021A"/>
    <w:rsid w:val="009B44AF"/>
    <w:rsid w:val="009C6A0B"/>
    <w:rsid w:val="009D1D3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15F"/>
    <w:rsid w:val="00B412D4"/>
    <w:rsid w:val="00B802E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DE748F-3E2F-4875-9EC2-42E009A1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26952-9412-4282-A366-0B1FE968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170</Words>
  <Characters>816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3372 Text of Previous Version (Dec. 18, 2018) - South Carolina Legislature Online</dc:title>
  <dc:creator>Niki Downey</dc:creator>
  <cp:lastModifiedBy>S Volk</cp:lastModifiedBy>
  <cp:revision>2</cp:revision>
  <cp:lastPrinted>2018-12-17T14:53:00Z</cp:lastPrinted>
  <dcterms:created xsi:type="dcterms:W3CDTF">2018-12-18T23:51:00Z</dcterms:created>
  <dcterms:modified xsi:type="dcterms:W3CDTF">2018-12-18T23:51:00Z</dcterms:modified>
</cp:coreProperties>
</file>