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F92" w:rsidRDefault="00CD2F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2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1EF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15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55F05">
        <w:rPr>
          <w:color w:val="000000" w:themeColor="text1"/>
          <w:u w:color="000000" w:themeColor="text1"/>
        </w:rPr>
        <w:t>TO AMEND THE CODE OF LAWS OF SOUTH CAROLINA, 1976, BY ADDING SECTION 11</w:t>
      </w:r>
      <w:r w:rsidR="007F5C8C">
        <w:rPr>
          <w:color w:val="000000" w:themeColor="text1"/>
          <w:u w:color="000000" w:themeColor="text1"/>
        </w:rPr>
        <w:noBreakHyphen/>
      </w:r>
      <w:r w:rsidRPr="00A55F05">
        <w:rPr>
          <w:color w:val="000000" w:themeColor="text1"/>
          <w:u w:color="000000" w:themeColor="text1"/>
        </w:rPr>
        <w:t>11</w:t>
      </w:r>
      <w:r w:rsidR="007F5C8C">
        <w:rPr>
          <w:color w:val="000000" w:themeColor="text1"/>
          <w:u w:color="000000" w:themeColor="text1"/>
        </w:rPr>
        <w:noBreakHyphen/>
      </w:r>
      <w:r w:rsidRPr="00A55F05">
        <w:rPr>
          <w:color w:val="000000" w:themeColor="text1"/>
          <w:u w:color="000000" w:themeColor="text1"/>
        </w:rPr>
        <w:t>85 SO AS TO PROVIDE FOR A ZERO BASE BUDGET PROCESS BEGINNING WITH FISCAL YEAR 20</w:t>
      </w:r>
      <w:r>
        <w:rPr>
          <w:color w:val="000000" w:themeColor="text1"/>
          <w:u w:color="000000" w:themeColor="text1"/>
        </w:rPr>
        <w:t>20</w:t>
      </w:r>
      <w:r w:rsidR="007F5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2021</w:t>
      </w:r>
      <w:r w:rsidRPr="00A55F0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1EF2" w:rsidRDefault="006B1E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B1EF2" w:rsidRDefault="006B1E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5A6" w:rsidRPr="00A55F05" w:rsidRDefault="001715A6" w:rsidP="00171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A55F05">
        <w:rPr>
          <w:color w:val="000000" w:themeColor="text1"/>
          <w:u w:color="000000" w:themeColor="text1"/>
        </w:rPr>
        <w:t xml:space="preserve">Article 1, Chapter 11, Title 11 of the 1976 Code is amended by adding: </w:t>
      </w:r>
    </w:p>
    <w:p w:rsidR="001715A6" w:rsidRPr="00A55F05" w:rsidRDefault="001715A6" w:rsidP="00171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F05">
        <w:rPr>
          <w:color w:val="000000" w:themeColor="text1"/>
          <w:u w:color="000000" w:themeColor="text1"/>
        </w:rPr>
        <w:tab/>
      </w:r>
      <w:r w:rsidRPr="00A55F05">
        <w:rPr>
          <w:color w:val="000000" w:themeColor="text1"/>
          <w:u w:color="000000" w:themeColor="text1"/>
        </w:rPr>
        <w:tab/>
      </w:r>
    </w:p>
    <w:p w:rsidR="001715A6" w:rsidRPr="00A55F05" w:rsidRDefault="001715A6" w:rsidP="00171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F05">
        <w:rPr>
          <w:color w:val="000000" w:themeColor="text1"/>
          <w:u w:color="000000" w:themeColor="text1"/>
        </w:rPr>
        <w:tab/>
        <w:t>“Section 11</w:t>
      </w:r>
      <w:r w:rsidR="007F5C8C">
        <w:rPr>
          <w:color w:val="000000" w:themeColor="text1"/>
          <w:u w:color="000000" w:themeColor="text1"/>
        </w:rPr>
        <w:noBreakHyphen/>
      </w:r>
      <w:r w:rsidRPr="00A55F05">
        <w:rPr>
          <w:color w:val="000000" w:themeColor="text1"/>
          <w:u w:color="000000" w:themeColor="text1"/>
        </w:rPr>
        <w:t>11</w:t>
      </w:r>
      <w:r w:rsidR="007F5C8C">
        <w:rPr>
          <w:color w:val="000000" w:themeColor="text1"/>
          <w:u w:color="000000" w:themeColor="text1"/>
        </w:rPr>
        <w:noBreakHyphen/>
      </w:r>
      <w:r w:rsidRPr="00A55F05">
        <w:rPr>
          <w:color w:val="000000" w:themeColor="text1"/>
          <w:u w:color="000000" w:themeColor="text1"/>
        </w:rPr>
        <w:t>85.</w:t>
      </w:r>
      <w:r w:rsidRPr="00A55F05">
        <w:rPr>
          <w:color w:val="000000" w:themeColor="text1"/>
          <w:u w:color="000000" w:themeColor="text1"/>
        </w:rPr>
        <w:tab/>
        <w:t>(A)</w:t>
      </w:r>
      <w:r w:rsidRPr="00A55F05">
        <w:rPr>
          <w:color w:val="000000" w:themeColor="text1"/>
          <w:u w:color="000000" w:themeColor="text1"/>
        </w:rPr>
        <w:tab/>
        <w:t xml:space="preserve">The House Ways and Means Committee and the Senate Finance Committee shall implement a zero base budget process, beginning with the annual general appropriations act for Fiscal Year </w:t>
      </w:r>
      <w:r>
        <w:rPr>
          <w:color w:val="000000" w:themeColor="text1"/>
          <w:u w:color="000000" w:themeColor="text1"/>
        </w:rPr>
        <w:t>2020</w:t>
      </w:r>
      <w:r w:rsidR="007F5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2021</w:t>
      </w:r>
      <w:r w:rsidRPr="00A55F05">
        <w:rPr>
          <w:color w:val="000000" w:themeColor="text1"/>
          <w:u w:color="000000" w:themeColor="text1"/>
        </w:rPr>
        <w:t xml:space="preserve">.  The schedule for a zero base budget process must be organized by the following agency functional areas for all of state government: </w:t>
      </w:r>
    </w:p>
    <w:p w:rsidR="001715A6" w:rsidRPr="00A55F05" w:rsidRDefault="001715A6" w:rsidP="00171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F05">
        <w:rPr>
          <w:color w:val="000000" w:themeColor="text1"/>
          <w:u w:color="000000" w:themeColor="text1"/>
        </w:rPr>
        <w:tab/>
      </w:r>
      <w:r w:rsidRPr="00A55F05">
        <w:rPr>
          <w:color w:val="000000" w:themeColor="text1"/>
          <w:u w:color="000000" w:themeColor="text1"/>
        </w:rPr>
        <w:tab/>
        <w:t>(1)</w:t>
      </w:r>
      <w:r w:rsidRPr="00A55F05">
        <w:rPr>
          <w:color w:val="000000" w:themeColor="text1"/>
          <w:u w:color="000000" w:themeColor="text1"/>
        </w:rPr>
        <w:tab/>
        <w:t xml:space="preserve">Fiscal Year </w:t>
      </w:r>
      <w:r>
        <w:rPr>
          <w:color w:val="000000" w:themeColor="text1"/>
          <w:u w:color="000000" w:themeColor="text1"/>
        </w:rPr>
        <w:t>2020</w:t>
      </w:r>
      <w:r w:rsidR="007F5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2021</w:t>
      </w:r>
      <w:r w:rsidRPr="00A55F05">
        <w:rPr>
          <w:color w:val="000000" w:themeColor="text1"/>
          <w:u w:color="000000" w:themeColor="text1"/>
        </w:rPr>
        <w:t xml:space="preserve">, Group I: human service, health care, and social service agencies; </w:t>
      </w:r>
    </w:p>
    <w:p w:rsidR="001715A6" w:rsidRPr="00A55F05" w:rsidRDefault="001715A6" w:rsidP="00171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F05">
        <w:rPr>
          <w:color w:val="000000" w:themeColor="text1"/>
          <w:u w:color="000000" w:themeColor="text1"/>
        </w:rPr>
        <w:tab/>
      </w:r>
      <w:r w:rsidRPr="00A55F05">
        <w:rPr>
          <w:color w:val="000000" w:themeColor="text1"/>
          <w:u w:color="000000" w:themeColor="text1"/>
        </w:rPr>
        <w:tab/>
        <w:t>(2)</w:t>
      </w:r>
      <w:r w:rsidRPr="00A55F05">
        <w:rPr>
          <w:color w:val="000000" w:themeColor="text1"/>
          <w:u w:color="000000" w:themeColor="text1"/>
        </w:rPr>
        <w:tab/>
        <w:t>Fiscal Year 20</w:t>
      </w:r>
      <w:r>
        <w:rPr>
          <w:color w:val="000000" w:themeColor="text1"/>
          <w:u w:color="000000" w:themeColor="text1"/>
        </w:rPr>
        <w:t>21</w:t>
      </w:r>
      <w:r w:rsidR="007F5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2022</w:t>
      </w:r>
      <w:r w:rsidRPr="00A55F05">
        <w:rPr>
          <w:color w:val="000000" w:themeColor="text1"/>
          <w:u w:color="000000" w:themeColor="text1"/>
        </w:rPr>
        <w:t xml:space="preserve">, Group II: correctional, criminal justice, public safety, and natural resource agencies; </w:t>
      </w:r>
    </w:p>
    <w:p w:rsidR="001715A6" w:rsidRPr="00A55F05" w:rsidRDefault="001715A6" w:rsidP="00171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Fiscal Year 2022</w:t>
      </w:r>
      <w:r w:rsidR="007F5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2023</w:t>
      </w:r>
      <w:r w:rsidRPr="00A55F05">
        <w:rPr>
          <w:color w:val="000000" w:themeColor="text1"/>
          <w:u w:color="000000" w:themeColor="text1"/>
        </w:rPr>
        <w:t xml:space="preserve">, Group III: executive, regulatory, judicial, quasijudicial agencies and boards, and other agencies determined by the committees not to fall in the first two categories; </w:t>
      </w:r>
    </w:p>
    <w:p w:rsidR="001715A6" w:rsidRPr="00A55F05" w:rsidRDefault="001715A6" w:rsidP="00171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F05">
        <w:rPr>
          <w:color w:val="000000" w:themeColor="text1"/>
          <w:u w:color="000000" w:themeColor="text1"/>
        </w:rPr>
        <w:tab/>
      </w:r>
      <w:r w:rsidRPr="00A55F05">
        <w:rPr>
          <w:color w:val="000000" w:themeColor="text1"/>
          <w:u w:color="000000" w:themeColor="text1"/>
        </w:rPr>
        <w:tab/>
        <w:t>(4)</w:t>
      </w:r>
      <w:r w:rsidRPr="00A55F05">
        <w:rPr>
          <w:color w:val="000000" w:themeColor="text1"/>
          <w:u w:color="000000" w:themeColor="text1"/>
        </w:rPr>
        <w:tab/>
        <w:t>Fiscal Year 20</w:t>
      </w:r>
      <w:r>
        <w:rPr>
          <w:color w:val="000000" w:themeColor="text1"/>
          <w:u w:color="000000" w:themeColor="text1"/>
        </w:rPr>
        <w:t>23</w:t>
      </w:r>
      <w:r w:rsidR="007F5C8C">
        <w:rPr>
          <w:color w:val="000000" w:themeColor="text1"/>
          <w:u w:color="000000" w:themeColor="text1"/>
        </w:rPr>
        <w:noBreakHyphen/>
      </w:r>
      <w:r w:rsidRPr="00A55F05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24</w:t>
      </w:r>
      <w:r w:rsidRPr="00A55F05">
        <w:rPr>
          <w:color w:val="000000" w:themeColor="text1"/>
          <w:u w:color="000000" w:themeColor="text1"/>
        </w:rPr>
        <w:t xml:space="preserve">, Group IV: education functions of government including, but not limited to, public education and higher education. </w:t>
      </w:r>
    </w:p>
    <w:p w:rsidR="001715A6" w:rsidRPr="00A55F05" w:rsidRDefault="001715A6" w:rsidP="00171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F05">
        <w:rPr>
          <w:color w:val="000000" w:themeColor="text1"/>
          <w:u w:color="000000" w:themeColor="text1"/>
        </w:rPr>
        <w:tab/>
        <w:t>(B)</w:t>
      </w:r>
      <w:r w:rsidRPr="00A55F05">
        <w:rPr>
          <w:color w:val="000000" w:themeColor="text1"/>
          <w:u w:color="000000" w:themeColor="text1"/>
        </w:rPr>
        <w:tab/>
        <w:t>The process for each group must be maintained on a four</w:t>
      </w:r>
      <w:r w:rsidR="007F5C8C">
        <w:rPr>
          <w:color w:val="000000" w:themeColor="text1"/>
          <w:u w:color="000000" w:themeColor="text1"/>
        </w:rPr>
        <w:noBreakHyphen/>
      </w:r>
      <w:r w:rsidRPr="00A55F05">
        <w:rPr>
          <w:color w:val="000000" w:themeColor="text1"/>
          <w:u w:color="000000" w:themeColor="text1"/>
        </w:rPr>
        <w:t>year rotating basis.”</w:t>
      </w:r>
    </w:p>
    <w:p w:rsidR="001715A6" w:rsidRPr="00A55F05" w:rsidRDefault="001715A6" w:rsidP="00171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1EF2" w:rsidRDefault="001715A6" w:rsidP="00171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55F05">
        <w:rPr>
          <w:color w:val="000000" w:themeColor="text1"/>
          <w:u w:color="000000" w:themeColor="text1"/>
        </w:rPr>
        <w:t>SECTION</w:t>
      </w:r>
      <w:r w:rsidRPr="00A55F05">
        <w:rPr>
          <w:color w:val="000000" w:themeColor="text1"/>
          <w:u w:color="000000" w:themeColor="text1"/>
        </w:rPr>
        <w:tab/>
        <w:t>2</w:t>
      </w:r>
      <w:r w:rsidR="006B1EF2">
        <w:t>.</w:t>
      </w:r>
      <w:r w:rsidR="006B1EF2">
        <w:tab/>
        <w:t>This act takes effect upon approval by the Governor.</w:t>
      </w:r>
    </w:p>
    <w:p w:rsidR="005D18F5" w:rsidRDefault="007F5C8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2F92" w:rsidRDefault="00CD2F92" w:rsidP="00CD2F92">
      <w:pPr>
        <w:suppressAutoHyphens/>
      </w:pPr>
    </w:p>
    <w:sectPr w:rsidR="00CD2F92" w:rsidSect="00CD2F9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1EF2" w:rsidRDefault="006B1EF2" w:rsidP="009F0C77">
      <w:r>
        <w:separator/>
      </w:r>
    </w:p>
  </w:endnote>
  <w:endnote w:type="continuationSeparator" w:id="0">
    <w:p w:rsidR="006B1EF2" w:rsidRDefault="006B1E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9911B6A-308D-4549-ACCC-7E713BF004FB}"/>
    <w:embedBold r:id="rId2" w:fontKey="{DFE7F053-DEFC-4A67-A008-DA9DEB6D66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78BB16A-DFD8-4C10-9921-DAE71A1235D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336D0B6-3B9E-4CBD-B2F6-585679BF92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1F30D4-71F7-43A0-BBCD-3BA7276AEB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8F5" w:rsidRPr="00CD2F92" w:rsidRDefault="00CD2F92" w:rsidP="00CD2F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1EF2" w:rsidRDefault="006B1EF2" w:rsidP="009F0C77">
      <w:r>
        <w:separator/>
      </w:r>
    </w:p>
  </w:footnote>
  <w:footnote w:type="continuationSeparator" w:id="0">
    <w:p w:rsidR="006B1EF2" w:rsidRDefault="006B1E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12DG19"/>
    <w:docVar w:name="CoverBillType" w:val="b"/>
    <w:docVar w:name="DocPath" w:val="L:\Council\bills\NBD\11112DG19.DOCX"/>
    <w:docVar w:name="dvBillNumber" w:val="341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6B1EF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15A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76F6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18F5"/>
    <w:rsid w:val="005E2BC9"/>
    <w:rsid w:val="00605102"/>
    <w:rsid w:val="006215AA"/>
    <w:rsid w:val="006913C9"/>
    <w:rsid w:val="0069470D"/>
    <w:rsid w:val="006B1EF2"/>
    <w:rsid w:val="006D58AA"/>
    <w:rsid w:val="00734F00"/>
    <w:rsid w:val="007A70AE"/>
    <w:rsid w:val="007F5C8C"/>
    <w:rsid w:val="008362E8"/>
    <w:rsid w:val="0085786E"/>
    <w:rsid w:val="008A1768"/>
    <w:rsid w:val="008A489F"/>
    <w:rsid w:val="008F0F33"/>
    <w:rsid w:val="008F4429"/>
    <w:rsid w:val="009237B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2FD"/>
    <w:rsid w:val="00C3483A"/>
    <w:rsid w:val="00C74E9D"/>
    <w:rsid w:val="00C826DD"/>
    <w:rsid w:val="00C82FD3"/>
    <w:rsid w:val="00C92819"/>
    <w:rsid w:val="00CC6B7B"/>
    <w:rsid w:val="00CD2089"/>
    <w:rsid w:val="00CD2F92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2D4424-2BF0-4FB2-B198-7602F6958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5C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C8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6142F-0AD0-4BDF-BEEF-9264ABBE8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218</Words>
  <Characters>1154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3414 Text of Previous Version (Dec. 18, 2018) - South Carolina Legislature Online</dc:title>
  <dc:creator>Niki Downey</dc:creator>
  <cp:lastModifiedBy>S Volk</cp:lastModifiedBy>
  <cp:revision>2</cp:revision>
  <cp:lastPrinted>2018-12-13T17:10:00Z</cp:lastPrinted>
  <dcterms:created xsi:type="dcterms:W3CDTF">2018-12-19T00:45:00Z</dcterms:created>
  <dcterms:modified xsi:type="dcterms:W3CDTF">2018-12-19T00:45:00Z</dcterms:modified>
</cp:coreProperties>
</file>