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2" w:rsidRDefault="004522B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r>
      <w:r w:rsidR="00FD3FF2">
        <w:t xml:space="preserve">This act may be cited as the “Samantha L. Josephson Ridesharing Safety Act”.   </w:t>
      </w:r>
    </w:p>
    <w:p w:rsidR="00FD3FF2" w:rsidRDefault="00FD3FF2"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Default="000E0D84"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FF2">
        <w:t>2</w:t>
      </w:r>
      <w:r>
        <w:t>.</w:t>
      </w:r>
      <w:r>
        <w:tab/>
      </w:r>
      <w:r w:rsidR="00A720A3">
        <w:t>Section 58</w:t>
      </w:r>
      <w:r w:rsidR="003A71AA">
        <w:noBreakHyphen/>
      </w:r>
      <w:r w:rsidR="00A720A3">
        <w:t>23</w:t>
      </w:r>
      <w:r w:rsidR="003A71AA">
        <w:noBreakHyphen/>
      </w:r>
      <w:r w:rsidR="00A720A3">
        <w:t>1640(F) of the 1976 Code is amended to read:</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96A56">
        <w:t>(F)</w:t>
      </w:r>
      <w:r w:rsidR="00131EC1" w:rsidRPr="00131EC1">
        <w:rPr>
          <w:u w:val="single"/>
        </w:rPr>
        <w:t>(1)</w:t>
      </w:r>
      <w:r w:rsidR="009C3DE9">
        <w:tab/>
      </w:r>
      <w:r w:rsidR="00F84D73">
        <w:tab/>
      </w:r>
      <w:r w:rsidRPr="00E0515E">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15E">
        <w:tab/>
      </w:r>
      <w:r w:rsidRPr="00E0515E">
        <w:tab/>
      </w:r>
      <w:r w:rsidRPr="00131EC1">
        <w:rPr>
          <w:strike/>
        </w:rPr>
        <w:t>(1)</w:t>
      </w:r>
      <w:r w:rsidR="00131EC1" w:rsidRPr="00131EC1">
        <w:rPr>
          <w:u w:val="single"/>
        </w:rPr>
        <w:t>(a)</w:t>
      </w:r>
      <w:r w:rsidR="00EF34A9">
        <w:tab/>
      </w:r>
      <w:r w:rsidRPr="00E0515E">
        <w:t>must be readable during daylight hours at a distance of fifty feet;</w:t>
      </w:r>
    </w:p>
    <w:p w:rsidR="00A720A3" w:rsidRPr="00E0515E"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(2)</w:t>
      </w:r>
      <w:r w:rsidR="00131EC1" w:rsidRPr="00131EC1">
        <w:rPr>
          <w:u w:val="single"/>
        </w:rPr>
        <w:t>(b)</w:t>
      </w:r>
      <w:r>
        <w:tab/>
      </w:r>
      <w:r w:rsidR="00A720A3" w:rsidRPr="00E0515E">
        <w:t xml:space="preserve">must </w:t>
      </w:r>
      <w:r w:rsidR="00A720A3" w:rsidRPr="000B5A12">
        <w:rPr>
          <w:strike/>
        </w:rPr>
        <w:t xml:space="preserve">be </w:t>
      </w:r>
      <w:r w:rsidR="00A720A3" w:rsidRPr="00E0515E">
        <w:rPr>
          <w:strike/>
        </w:rPr>
        <w:t>reflective,</w:t>
      </w:r>
      <w:r w:rsidR="00A720A3" w:rsidRPr="00E0515E">
        <w:t xml:space="preserve"> </w:t>
      </w:r>
      <w:r w:rsidR="000B5A12">
        <w:rPr>
          <w:u w:val="single"/>
        </w:rPr>
        <w:t>include an</w:t>
      </w:r>
      <w:r w:rsidR="000B5A12">
        <w:t xml:space="preserve"> </w:t>
      </w:r>
      <w:r w:rsidR="00A720A3" w:rsidRPr="00E0515E">
        <w:t>illuminated</w:t>
      </w:r>
      <w:r w:rsidR="00A720A3" w:rsidRPr="000B5A12">
        <w:t xml:space="preserve">, </w:t>
      </w:r>
      <w:r w:rsidR="00A720A3" w:rsidRPr="00E0515E">
        <w:rPr>
          <w:strike/>
        </w:rPr>
        <w:t>or otherwise</w:t>
      </w:r>
      <w:r w:rsidR="00A720A3" w:rsidRPr="00E0515E">
        <w:t xml:space="preserve"> </w:t>
      </w:r>
      <w:r w:rsidR="000B5A12">
        <w:rPr>
          <w:u w:val="single"/>
        </w:rPr>
        <w:t>TNC</w:t>
      </w:r>
      <w:r w:rsidR="00131EC1">
        <w:rPr>
          <w:u w:val="single"/>
        </w:rPr>
        <w:t>-</w:t>
      </w:r>
      <w:r w:rsidR="000B5A12">
        <w:rPr>
          <w:u w:val="single"/>
        </w:rPr>
        <w:t>provided sign displaying the company’s proprietary trademark or logo that is</w:t>
      </w:r>
      <w:r w:rsidR="000B5A12">
        <w:t xml:space="preserve"> </w:t>
      </w:r>
      <w:r w:rsidR="00A720A3" w:rsidRPr="00E0515E">
        <w:t>patently visible so as to be seen in darkness; and</w:t>
      </w:r>
    </w:p>
    <w:p w:rsidR="00131EC1"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(3)</w:t>
      </w:r>
      <w:r w:rsidR="00131EC1" w:rsidRPr="00131EC1">
        <w:rPr>
          <w:u w:val="single"/>
        </w:rPr>
        <w:t>(c)</w:t>
      </w:r>
      <w:r>
        <w:tab/>
      </w:r>
      <w:r w:rsidR="00A720A3" w:rsidRPr="00E0515E">
        <w:t>may be magnetic or removable in nature.</w:t>
      </w:r>
    </w:p>
    <w:p w:rsidR="00A720A3" w:rsidRPr="00E0515E" w:rsidRDefault="00131EC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u w:val="single"/>
        </w:rPr>
        <w:t>(2)</w:t>
      </w:r>
      <w:r w:rsidR="00201FA8">
        <w:tab/>
      </w:r>
      <w:r w:rsidRPr="000120E9">
        <w:rPr>
          <w:u w:val="single"/>
        </w:rPr>
        <w:t xml:space="preserve">All TNC trade dress including, but not limited to, the illuminated signage described in item (1) must be returned to the </w:t>
      </w:r>
      <w:r w:rsidRPr="000120E9">
        <w:rPr>
          <w:u w:val="single"/>
        </w:rPr>
        <w:lastRenderedPageBreak/>
        <w:t xml:space="preserve">TNC when a driver ceases to be employed by or work for the TNC. A TNC that does not receive back all TNC-provided trade dress furnished to a particular driver shall report </w:t>
      </w:r>
      <w:r w:rsidR="007B5831" w:rsidRPr="000120E9">
        <w:rPr>
          <w:u w:val="single"/>
        </w:rPr>
        <w:t xml:space="preserve">in writing to </w:t>
      </w:r>
      <w:r w:rsidR="009C3DE9">
        <w:rPr>
          <w:u w:val="single"/>
        </w:rPr>
        <w:t xml:space="preserve">the </w:t>
      </w:r>
      <w:r w:rsidR="007B5831" w:rsidRPr="000120E9">
        <w:rPr>
          <w:u w:val="single"/>
        </w:rPr>
        <w:t>O</w:t>
      </w:r>
      <w:r w:rsidR="009C3DE9">
        <w:rPr>
          <w:u w:val="single"/>
        </w:rPr>
        <w:t>ffice of Regulatory Staff</w:t>
      </w:r>
      <w:r w:rsidR="007B5831" w:rsidRPr="000120E9">
        <w:rPr>
          <w:u w:val="single"/>
        </w:rPr>
        <w:t xml:space="preserve"> </w:t>
      </w:r>
      <w:r w:rsidRPr="000120E9">
        <w:rPr>
          <w:u w:val="single"/>
        </w:rPr>
        <w:t>the driver’s name and last known physical address</w:t>
      </w:r>
      <w:r w:rsidR="007B5831" w:rsidRPr="000120E9">
        <w:rPr>
          <w:u w:val="single"/>
        </w:rPr>
        <w:t>,</w:t>
      </w:r>
      <w:r w:rsidRPr="000120E9">
        <w:rPr>
          <w:u w:val="single"/>
        </w:rPr>
        <w:t xml:space="preserve"> </w:t>
      </w:r>
      <w:r w:rsidR="007B5831" w:rsidRPr="000120E9">
        <w:rPr>
          <w:u w:val="single"/>
        </w:rPr>
        <w:t xml:space="preserve">along with a list of the </w:t>
      </w:r>
      <w:r w:rsidRPr="000120E9">
        <w:rPr>
          <w:u w:val="single"/>
        </w:rPr>
        <w:t>specific</w:t>
      </w:r>
      <w:r w:rsidR="007B5831" w:rsidRPr="000120E9">
        <w:rPr>
          <w:u w:val="single"/>
        </w:rPr>
        <w:t xml:space="preserve"> trade dress items the driver failed to return. If a driver cannot return TNC-provided trade dress items at the end of his employment with a TNC, he may provide a signed and witnessed affidavit explaining why the particular trade dress items could not be returned.</w:t>
      </w:r>
      <w:r w:rsidR="00A720A3">
        <w:t>”</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FA8">
        <w:t>3</w:t>
      </w:r>
      <w:r>
        <w:t>.</w:t>
      </w:r>
      <w:r>
        <w:tab/>
        <w:t>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7A9" w:rsidRDefault="001437A9" w:rsidP="001437A9">
      <w:pPr>
        <w:suppressAutoHyphens/>
      </w:pPr>
    </w:p>
    <w:sectPr w:rsidR="001437A9" w:rsidSect="001437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7256DC-8A29-40F2-B4D3-728DE5C47CAC}"/>
    <w:embedBold r:id="rId2" w:fontKey="{4B6ED7FF-9095-4634-B4F0-A710BD6B7E7D}"/>
  </w:font>
  <w:font w:name="Calibri">
    <w:panose1 w:val="020F0502020204030204"/>
    <w:charset w:val="00"/>
    <w:family w:val="swiss"/>
    <w:pitch w:val="variable"/>
    <w:sig w:usb0="E00002FF" w:usb1="4000ACFF" w:usb2="00000001" w:usb3="00000000" w:csb0="0000019F" w:csb1="00000000"/>
    <w:embedRegular r:id="rId3" w:fontKey="{D0AC2300-5391-4677-AB85-CC8054445A61}"/>
  </w:font>
  <w:font w:name="Segoe UI">
    <w:panose1 w:val="020B0502040204020203"/>
    <w:charset w:val="00"/>
    <w:family w:val="swiss"/>
    <w:pitch w:val="variable"/>
    <w:sig w:usb0="E10022FF" w:usb1="C000E47F" w:usb2="00000029" w:usb3="00000000" w:csb0="000001DF" w:csb1="00000000"/>
    <w:embedRegular r:id="rId4" w:fontKey="{18EF7B20-0556-4315-BD4A-1D707FACC3C2}"/>
  </w:font>
  <w:font w:name="Cambria">
    <w:panose1 w:val="02040503050406030204"/>
    <w:charset w:val="00"/>
    <w:family w:val="roman"/>
    <w:pitch w:val="variable"/>
    <w:sig w:usb0="E00002FF" w:usb1="400004FF" w:usb2="00000000" w:usb3="00000000" w:csb0="0000019F" w:csb1="00000000"/>
    <w:embedRegular r:id="rId5" w:fontKey="{8DE637FB-E6A5-495C-9659-3E4773F6CC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C8" w:rsidRPr="001437A9" w:rsidRDefault="001437A9"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80184"/>
    <w:rsid w:val="000B5A12"/>
    <w:rsid w:val="000E0100"/>
    <w:rsid w:val="000E0D84"/>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263CF"/>
    <w:rsid w:val="00D73A67"/>
    <w:rsid w:val="00D970A9"/>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0BF7E-4DA0-43BD-BF7D-0247A1A4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349</Words>
  <Characters>1677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(Apr. 2, 2019) - South Carolina Legislature Online</dc:title>
  <dc:creator>Chris Charlton</dc:creator>
  <cp:lastModifiedBy>S Volk</cp:lastModifiedBy>
  <cp:revision>2</cp:revision>
  <cp:lastPrinted>2019-04-02T15:03:00Z</cp:lastPrinted>
  <dcterms:created xsi:type="dcterms:W3CDTF">2019-04-02T17:58:00Z</dcterms:created>
  <dcterms:modified xsi:type="dcterms:W3CDTF">2019-04-02T17:58:00Z</dcterms:modified>
</cp:coreProperties>
</file>