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319" w:rsidRDefault="00FF0319"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32F" w:rsidRDefault="003123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17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23C9">
        <w:rPr>
          <w:color w:val="000000" w:themeColor="text1"/>
          <w:u w:color="000000" w:themeColor="text1"/>
        </w:rPr>
        <w:t>TO AMEND SECTION 6</w:t>
      </w:r>
      <w:r w:rsidR="00260097">
        <w:rPr>
          <w:color w:val="000000" w:themeColor="text1"/>
          <w:u w:color="000000" w:themeColor="text1"/>
        </w:rPr>
        <w:noBreakHyphen/>
      </w:r>
      <w:r w:rsidRPr="00A823C9">
        <w:rPr>
          <w:color w:val="000000" w:themeColor="text1"/>
          <w:u w:color="000000" w:themeColor="text1"/>
        </w:rPr>
        <w:t>29</w:t>
      </w:r>
      <w:r w:rsidR="00260097">
        <w:rPr>
          <w:color w:val="000000" w:themeColor="text1"/>
          <w:u w:color="000000" w:themeColor="text1"/>
        </w:rPr>
        <w:noBreakHyphen/>
      </w:r>
      <w:r w:rsidRPr="00A823C9">
        <w:rPr>
          <w:color w:val="000000" w:themeColor="text1"/>
          <w:u w:color="000000" w:themeColor="text1"/>
        </w:rPr>
        <w:t>510, CODE OF LAWS OF SOUTH CAROLINA, 1976, RELATING TO COMPREHENSIVE PLANS OF LOCAL PLANNING COMMISSIONS, SO AS TO REQUIRE LOCAL COMPREHENSIVE PLANS TO INCLUDE A RESILIENCY ELEMENT.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7A" w:rsidRPr="00A823C9" w:rsidRDefault="000417E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517A" w:rsidRPr="00A823C9">
        <w:rPr>
          <w:color w:val="000000" w:themeColor="text1"/>
          <w:u w:color="000000" w:themeColor="text1"/>
        </w:rPr>
        <w:t>Section 6</w:t>
      </w:r>
      <w:r w:rsidR="00260097">
        <w:rPr>
          <w:color w:val="000000" w:themeColor="text1"/>
          <w:u w:color="000000" w:themeColor="text1"/>
        </w:rPr>
        <w:noBreakHyphen/>
      </w:r>
      <w:r w:rsidR="0083517A" w:rsidRPr="00A823C9">
        <w:rPr>
          <w:color w:val="000000" w:themeColor="text1"/>
          <w:u w:color="000000" w:themeColor="text1"/>
        </w:rPr>
        <w:t>29</w:t>
      </w:r>
      <w:r w:rsidR="00260097">
        <w:rPr>
          <w:color w:val="000000" w:themeColor="text1"/>
          <w:u w:color="000000" w:themeColor="text1"/>
        </w:rPr>
        <w:noBreakHyphen/>
      </w:r>
      <w:r w:rsidR="0083517A" w:rsidRPr="00A823C9">
        <w:rPr>
          <w:color w:val="000000" w:themeColor="text1"/>
          <w:u w:color="000000" w:themeColor="text1"/>
        </w:rPr>
        <w:t xml:space="preserve">510(D) of the 1976 </w:t>
      </w:r>
      <w:r w:rsidR="00A24FEB">
        <w:rPr>
          <w:color w:val="000000" w:themeColor="text1"/>
          <w:u w:color="000000" w:themeColor="text1"/>
        </w:rPr>
        <w:t>Code</w:t>
      </w:r>
      <w:r w:rsidR="0083517A" w:rsidRPr="00A823C9">
        <w:rPr>
          <w:color w:val="000000" w:themeColor="text1"/>
          <w:u w:color="000000" w:themeColor="text1"/>
        </w:rPr>
        <w:t xml:space="preserve"> is amended to read:</w:t>
      </w:r>
    </w:p>
    <w:p w:rsidR="0083517A" w:rsidRPr="00A823C9" w:rsidRDefault="0083517A"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17A" w:rsidRPr="00A823C9" w:rsidRDefault="0083517A"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3C9">
        <w:rPr>
          <w:color w:val="000000" w:themeColor="text1"/>
          <w:u w:color="000000" w:themeColor="text1"/>
        </w:rPr>
        <w:tab/>
        <w:t>“(D)</w:t>
      </w:r>
      <w:r w:rsidR="00A955B3">
        <w:rPr>
          <w:color w:val="000000" w:themeColor="text1"/>
          <w:u w:color="000000" w:themeColor="text1"/>
        </w:rPr>
        <w:tab/>
      </w:r>
      <w:r w:rsidRPr="00A823C9">
        <w:rPr>
          <w:color w:val="000000" w:themeColor="text1"/>
          <w:u w:color="000000" w:themeColor="text1"/>
        </w:rPr>
        <w:t>A local comprehensive plan must include, but not be limited to, the following planning elements: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3517A" w:rsidRPr="00A823C9">
        <w:rPr>
          <w:color w:val="000000" w:themeColor="text1"/>
          <w:u w:color="000000" w:themeColor="text1"/>
        </w:rPr>
        <w:t>a population element which considers historic trends and projections, household numbers and sizes, educational levels, and income characteristics;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3517A" w:rsidRPr="00A823C9">
        <w:rPr>
          <w:color w:val="000000" w:themeColor="text1"/>
          <w:u w:color="000000" w:themeColor="text1"/>
        </w:rPr>
        <w:t>an economic development element which considers labor force and labor force characteristics, employment by place of work and residence, and analysis of the economic base;</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3517A" w:rsidRPr="00A823C9">
        <w:rPr>
          <w:color w:val="000000" w:themeColor="text1"/>
          <w:u w:color="000000" w:themeColor="text1"/>
        </w:rPr>
        <w:t>a natural resources element which considers coastal resources, slope characteristics, prime agricultural and forest land, plant and animal habitats, parks and recreation areas, scenic views and sites, wetlands, and soil types. Where a separate board exists pursuant to this chapter, this element is the responsibility of the existing board;</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3517A" w:rsidRPr="00A823C9">
        <w:rPr>
          <w:color w:val="000000" w:themeColor="text1"/>
          <w:u w:color="000000" w:themeColor="text1"/>
        </w:rPr>
        <w:t>a cultural resources element which considers historic buildings and structures, commercial districts, residential districts, unique, natural, or scenic resources, archaeological, and other cultural resources. Where a separate board exists pursuant to this chapter, this element is the responsibility of the existing board;</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83517A" w:rsidRPr="00A823C9">
        <w:rPr>
          <w:color w:val="000000" w:themeColor="text1"/>
          <w:u w:color="000000" w:themeColor="text1"/>
        </w:rPr>
        <w:t>a community facilities element which considers water supply, treatment, and distribution; sewage system and wastewater treatment; solid waste collection and disposal, fire protection, emergency medical services, and general government facilities; education facilities; and libraries and other cultural facilities;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83517A" w:rsidRPr="00A823C9">
        <w:rPr>
          <w:color w:val="000000" w:themeColor="text1"/>
          <w:u w:color="000000" w:themeColor="text1"/>
        </w:rPr>
        <w:t>a housing element which considers location, types, age, and condition of housing, owner and renter occupancy, and affordability of housing. This element includes an analysis to ascertain nonessential housing regulatory requirements, as defined in this chapter, that add to the cost of developing affordable housing but are not necessary to protect the public health, safety, or welfare and an analysis of market</w:t>
      </w:r>
      <w:r w:rsidR="00260097">
        <w:rPr>
          <w:color w:val="000000" w:themeColor="text1"/>
          <w:u w:color="000000" w:themeColor="text1"/>
        </w:rPr>
        <w:noBreakHyphen/>
      </w:r>
      <w:r w:rsidR="0083517A" w:rsidRPr="00A823C9">
        <w:rPr>
          <w:color w:val="000000" w:themeColor="text1"/>
          <w:u w:color="000000" w:themeColor="text1"/>
        </w:rPr>
        <w:t>based incentives that may be made available to encourage development of affordable housing, which incentives may include density bonuses, design flexibility, and streamlined permitting processes;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3517A" w:rsidRPr="00A823C9">
        <w:rPr>
          <w:color w:val="000000" w:themeColor="text1"/>
          <w:u w:color="000000" w:themeColor="text1"/>
        </w:rPr>
        <w:t>a land use element which considers existing and future land use by categories, including residential, commercial, industrial, agricultural, forestry, mining, public and quasi</w:t>
      </w:r>
      <w:r w:rsidR="00260097">
        <w:rPr>
          <w:color w:val="000000" w:themeColor="text1"/>
          <w:u w:color="000000" w:themeColor="text1"/>
        </w:rPr>
        <w:noBreakHyphen/>
      </w:r>
      <w:r w:rsidR="0083517A" w:rsidRPr="00A823C9">
        <w:rPr>
          <w:color w:val="000000" w:themeColor="text1"/>
          <w:u w:color="000000" w:themeColor="text1"/>
        </w:rPr>
        <w:t>public, recreation, parks, open space, and vacant or undeveloped;</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83517A" w:rsidRPr="00A823C9">
        <w:rPr>
          <w:color w:val="000000" w:themeColor="text1"/>
          <w:u w:color="000000" w:themeColor="text1"/>
        </w:rPr>
        <w:t>a transportation element that considers transportation facilities, including major road improvements, new road construction, transit projects, pedestrian and bicycle projects, and other elements of a transportation network. This element must be developed in coordination with the land use element, to ensure transportation efficiency for existing and planned development;</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83517A" w:rsidRPr="00A823C9">
        <w:rPr>
          <w:color w:val="000000" w:themeColor="text1"/>
          <w:u w:color="000000" w:themeColor="text1"/>
        </w:rPr>
        <w:t xml:space="preserve">a priority investment element that analyzes the likely federal, state, and local funds available for public infrastructure and facilities during the next ten years, and recommends the projects for expenditure of those funds during the next ten years for needed public infrastructure and facilities such as water, sewer, roads, and schools. The recommendation of those projects for public expenditure must be done through coordination with adjacent and relevant jurisdictions and agencies. For the purposes of this item, </w:t>
      </w:r>
      <w:r w:rsidR="00260097" w:rsidRPr="00260097">
        <w:rPr>
          <w:color w:val="000000" w:themeColor="text1"/>
          <w:u w:color="000000" w:themeColor="text1"/>
        </w:rPr>
        <w:t>‘</w:t>
      </w:r>
      <w:r w:rsidR="0083517A" w:rsidRPr="00A823C9">
        <w:rPr>
          <w:color w:val="000000" w:themeColor="text1"/>
          <w:u w:color="000000" w:themeColor="text1"/>
        </w:rPr>
        <w:t>adjacent and relevant jurisdictions and agencies</w:t>
      </w:r>
      <w:r w:rsidR="00260097" w:rsidRPr="00260097">
        <w:rPr>
          <w:color w:val="000000" w:themeColor="text1"/>
          <w:u w:color="000000" w:themeColor="text1"/>
        </w:rPr>
        <w:t>’</w:t>
      </w:r>
      <w:r w:rsidR="0083517A" w:rsidRPr="00A823C9">
        <w:rPr>
          <w:color w:val="000000" w:themeColor="text1"/>
          <w:u w:color="000000" w:themeColor="text1"/>
        </w:rPr>
        <w:t xml:space="preserve"> means those counties, municipalities, public service districts, school districts, public and private utilities, transportation agencies, and other public entities that are affected by or have planning authority over the public project. For the purposes of this item, </w:t>
      </w:r>
      <w:r w:rsidR="00260097" w:rsidRPr="00260097">
        <w:rPr>
          <w:color w:val="000000" w:themeColor="text1"/>
          <w:u w:color="000000" w:themeColor="text1"/>
        </w:rPr>
        <w:t>‘</w:t>
      </w:r>
      <w:r w:rsidR="0083517A" w:rsidRPr="00A823C9">
        <w:rPr>
          <w:color w:val="000000" w:themeColor="text1"/>
          <w:u w:color="000000" w:themeColor="text1"/>
        </w:rPr>
        <w:t>coordination</w:t>
      </w:r>
      <w:r w:rsidR="00260097" w:rsidRPr="00260097">
        <w:rPr>
          <w:color w:val="000000" w:themeColor="text1"/>
          <w:u w:color="000000" w:themeColor="text1"/>
        </w:rPr>
        <w:t>’</w:t>
      </w:r>
      <w:r w:rsidR="0083517A" w:rsidRPr="00A823C9">
        <w:rPr>
          <w:color w:val="000000" w:themeColor="text1"/>
          <w:u w:color="000000" w:themeColor="text1"/>
        </w:rPr>
        <w:t xml:space="preserve">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w:t>
      </w:r>
      <w:r w:rsidR="0083517A" w:rsidRPr="00A823C9">
        <w:rPr>
          <w:color w:val="000000" w:themeColor="text1"/>
          <w:u w:color="000000" w:themeColor="text1"/>
        </w:rPr>
        <w:lastRenderedPageBreak/>
        <w:t>commission or its staff to identify or notify an adjacent or relevant jurisdiction or agency does not invalidate the local comprehensive plan and does not give rise to a civil cause of action</w:t>
      </w:r>
      <w:r w:rsidR="0083517A" w:rsidRPr="00A955B3">
        <w:rPr>
          <w:strike/>
          <w:color w:val="000000" w:themeColor="text1"/>
          <w:u w:color="000000" w:themeColor="text1"/>
        </w:rPr>
        <w:t>.</w:t>
      </w:r>
      <w:r w:rsidR="0083517A" w:rsidRPr="00A955B3">
        <w:rPr>
          <w:color w:val="000000" w:themeColor="text1"/>
          <w:u w:val="single" w:color="000000" w:themeColor="text1"/>
        </w:rPr>
        <w:t>; and</w:t>
      </w:r>
    </w:p>
    <w:p w:rsidR="000417E3" w:rsidRDefault="0083517A"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3C9">
        <w:rPr>
          <w:color w:val="000000" w:themeColor="text1"/>
          <w:u w:color="000000" w:themeColor="text1"/>
        </w:rPr>
        <w:tab/>
      </w:r>
      <w:r w:rsidRPr="00A823C9">
        <w:rPr>
          <w:color w:val="000000" w:themeColor="text1"/>
          <w:u w:color="000000" w:themeColor="text1"/>
        </w:rPr>
        <w:tab/>
      </w:r>
      <w:r w:rsidRPr="00A955B3">
        <w:rPr>
          <w:color w:val="000000" w:themeColor="text1"/>
          <w:u w:val="single" w:color="000000" w:themeColor="text1"/>
        </w:rPr>
        <w:t>(10)</w:t>
      </w:r>
      <w:r w:rsidR="00A955B3" w:rsidRPr="00A955B3">
        <w:rPr>
          <w:color w:val="000000" w:themeColor="text1"/>
          <w:u w:color="000000" w:themeColor="text1"/>
        </w:rPr>
        <w:tab/>
      </w:r>
      <w:r w:rsidRPr="00A955B3">
        <w:rPr>
          <w:color w:val="000000" w:themeColor="text1"/>
          <w:u w:val="single" w:color="000000" w:themeColor="text1"/>
        </w:rPr>
        <w:t xml:space="preserve">a resiliency element </w:t>
      </w:r>
      <w:r w:rsidR="00A846CD">
        <w:rPr>
          <w:color w:val="000000" w:themeColor="text1"/>
          <w:u w:val="single" w:color="000000" w:themeColor="text1"/>
        </w:rPr>
        <w:t>that</w:t>
      </w:r>
      <w:r w:rsidRPr="00A955B3">
        <w:rPr>
          <w:color w:val="000000" w:themeColor="text1"/>
          <w:u w:val="single" w:color="000000" w:themeColor="text1"/>
        </w:rPr>
        <w:t xml:space="preserve"> considers the impacts of flooding, high water, and natural hazards on individuals, communities, institutions, businesses, economic development, public infrastructure and facilities, and public health, safety and welfare. This element includes an inventory of existing resiliency conditions, promotes resilient planning, design and development, and is coordinated with adjacent and relevant jurisdictions and agencies. For the purposes of this item, </w:t>
      </w:r>
      <w:r w:rsidR="00260097" w:rsidRPr="00260097">
        <w:rPr>
          <w:color w:val="000000" w:themeColor="text1"/>
          <w:u w:val="single" w:color="000000" w:themeColor="text1"/>
        </w:rPr>
        <w:t>‘</w:t>
      </w:r>
      <w:r w:rsidRPr="00A955B3">
        <w:rPr>
          <w:color w:val="000000" w:themeColor="text1"/>
          <w:u w:val="single" w:color="000000" w:themeColor="text1"/>
        </w:rPr>
        <w:t>adjacent and relevant jurisdictions and agencies</w:t>
      </w:r>
      <w:r w:rsidR="00260097" w:rsidRPr="00260097">
        <w:rPr>
          <w:color w:val="000000" w:themeColor="text1"/>
          <w:u w:val="single" w:color="000000" w:themeColor="text1"/>
        </w:rPr>
        <w:t>’</w:t>
      </w:r>
      <w:r w:rsidRPr="00A955B3">
        <w:rPr>
          <w:color w:val="000000" w:themeColor="text1"/>
          <w:u w:val="single" w:color="000000" w:themeColor="text1"/>
        </w:rPr>
        <w:t xml:space="preserve"> means those counties, municipalities, public service districts, school districts, public and private utilities, transportation agencies, and other public entities that are affected by or have planning authority over the public project. For the purposes of this item, </w:t>
      </w:r>
      <w:r w:rsidR="00260097" w:rsidRPr="00260097">
        <w:rPr>
          <w:color w:val="000000" w:themeColor="text1"/>
          <w:u w:val="single" w:color="000000" w:themeColor="text1"/>
        </w:rPr>
        <w:t>‘</w:t>
      </w:r>
      <w:r w:rsidRPr="00A955B3">
        <w:rPr>
          <w:color w:val="000000" w:themeColor="text1"/>
          <w:u w:val="single" w:color="000000" w:themeColor="text1"/>
        </w:rPr>
        <w:t>coordination</w:t>
      </w:r>
      <w:r w:rsidR="00260097" w:rsidRPr="00260097">
        <w:rPr>
          <w:color w:val="000000" w:themeColor="text1"/>
          <w:u w:val="single" w:color="000000" w:themeColor="text1"/>
        </w:rPr>
        <w:t>’</w:t>
      </w:r>
      <w:r w:rsidRPr="00A955B3">
        <w:rPr>
          <w:color w:val="000000" w:themeColor="text1"/>
          <w:u w:val="single" w:color="000000" w:themeColor="text1"/>
        </w:rPr>
        <w:t xml:space="preserve">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w:t>
      </w:r>
      <w:r w:rsidR="002F6498">
        <w:rPr>
          <w:color w:val="000000" w:themeColor="text1"/>
          <w:u w:val="single" w:color="000000" w:themeColor="text1"/>
        </w:rPr>
        <w:t xml:space="preserve">. </w:t>
      </w:r>
      <w:r w:rsidR="002F6498" w:rsidRPr="002F6498">
        <w:rPr>
          <w:color w:val="000000" w:themeColor="text1"/>
          <w:u w:val="single" w:color="000000" w:themeColor="text1"/>
        </w:rPr>
        <w:t>This element must be developed in coordination with all preceding elements</w:t>
      </w:r>
      <w:r w:rsidRPr="00A955B3">
        <w:rPr>
          <w:color w:val="000000" w:themeColor="text1"/>
          <w:u w:val="single" w:color="000000" w:themeColor="text1"/>
        </w:rPr>
        <w:t>.</w:t>
      </w:r>
      <w:r w:rsidRPr="00A823C9">
        <w:rPr>
          <w:color w:val="000000" w:themeColor="text1"/>
          <w:u w:color="000000" w:themeColor="text1"/>
        </w:rPr>
        <w:t>”</w:t>
      </w:r>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17A">
        <w:t>2</w:t>
      </w:r>
      <w:r>
        <w:t>.</w:t>
      </w:r>
      <w:r>
        <w:tab/>
        <w:t>This act takes effect upon approval by the Governor.</w:t>
      </w:r>
    </w:p>
    <w:p w:rsidR="00C87A72" w:rsidRDefault="00260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C3B" w:rsidRDefault="00D05C3B" w:rsidP="00D05C3B">
      <w:pPr>
        <w:suppressAutoHyphens/>
      </w:pPr>
    </w:p>
    <w:sectPr w:rsidR="00D05C3B" w:rsidSect="00FF03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7E3" w:rsidRDefault="000417E3" w:rsidP="009F0C77">
      <w:r>
        <w:separator/>
      </w:r>
    </w:p>
  </w:endnote>
  <w:endnote w:type="continuationSeparator" w:id="0">
    <w:p w:rsidR="000417E3" w:rsidRDefault="000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D28E4BB-10F2-42CD-AC08-0679A6022A0A}"/>
    <w:embedBold r:id="rId2" w:fontKey="{0A452BE6-667E-49AB-A2A1-0AD0EB83B959}"/>
  </w:font>
  <w:font w:name="Calibri">
    <w:panose1 w:val="020F0502020204030204"/>
    <w:charset w:val="00"/>
    <w:family w:val="swiss"/>
    <w:pitch w:val="variable"/>
    <w:sig w:usb0="E0002AFF" w:usb1="C000247B" w:usb2="00000009" w:usb3="00000000" w:csb0="000001FF" w:csb1="00000000"/>
    <w:embedRegular r:id="rId3" w:fontKey="{B24122C4-2A43-4F9F-A784-4E4DDCC7EFC9}"/>
  </w:font>
  <w:font w:name="Segoe UI">
    <w:panose1 w:val="020B0502040204020203"/>
    <w:charset w:val="00"/>
    <w:family w:val="swiss"/>
    <w:pitch w:val="variable"/>
    <w:sig w:usb0="E4002EFF" w:usb1="C000E47F" w:usb2="00000009" w:usb3="00000000" w:csb0="000001FF" w:csb1="00000000"/>
    <w:embedRegular r:id="rId4" w:fontKey="{220F617A-5679-4C6F-9335-305768E3E245}"/>
  </w:font>
  <w:font w:name="Cambria">
    <w:panose1 w:val="02040503050406030204"/>
    <w:charset w:val="00"/>
    <w:family w:val="roman"/>
    <w:pitch w:val="variable"/>
    <w:sig w:usb0="E00006FF" w:usb1="420024FF" w:usb2="02000000" w:usb3="00000000" w:csb0="0000019F" w:csb1="00000000"/>
    <w:embedRegular r:id="rId5" w:fontKey="{C63B22E6-9137-4564-B303-6A7B9DE73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A72" w:rsidRPr="00FF0319" w:rsidRDefault="00FF0319" w:rsidP="00FF0319">
    <w:pPr>
      <w:pStyle w:val="Footer"/>
      <w:tabs>
        <w:tab w:val="clear" w:pos="4680"/>
        <w:tab w:val="clear" w:pos="9360"/>
        <w:tab w:val="center" w:pos="2995"/>
      </w:tabs>
      <w:spacing w:before="120"/>
    </w:pPr>
    <w:r>
      <w:t>[4731]</w:t>
    </w:r>
    <w:r>
      <w:tab/>
    </w:r>
    <w:r>
      <w:fldChar w:fldCharType="begin"/>
    </w:r>
    <w:r>
      <w:instrText xml:space="preserve"> PAGE  \* MERGEFORMAT </w:instrText>
    </w:r>
    <w:r>
      <w:fldChar w:fldCharType="separate"/>
    </w:r>
    <w:r w:rsidR="00D05C3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7E3" w:rsidRDefault="000417E3" w:rsidP="009F0C77">
      <w:r>
        <w:separator/>
      </w:r>
    </w:p>
  </w:footnote>
  <w:footnote w:type="continuationSeparator" w:id="0">
    <w:p w:rsidR="000417E3" w:rsidRDefault="000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3ZW20"/>
    <w:docVar w:name="CoverBillType" w:val="b"/>
    <w:docVar w:name="DocPath" w:val="L:\Council\bills\CC\15633ZW20.DOCX"/>
    <w:docVar w:name="dvBillNumber" w:val="4731"/>
    <w:docVar w:name="dvBillNumberPrefix" w:val="H. "/>
    <w:docVar w:name="dvOriginalBody" w:val="House"/>
    <w:docVar w:name="dvSteno" w:val="CC"/>
    <w:docVar w:name="NameofBody" w:val="h"/>
    <w:docVar w:name="vGroup2" w:val="Council"/>
  </w:docVars>
  <w:rsids>
    <w:rsidRoot w:val="000417E3"/>
    <w:rsid w:val="00011869"/>
    <w:rsid w:val="00015CD6"/>
    <w:rsid w:val="000417E3"/>
    <w:rsid w:val="000E0100"/>
    <w:rsid w:val="000E1785"/>
    <w:rsid w:val="000F40FA"/>
    <w:rsid w:val="001035F1"/>
    <w:rsid w:val="0010776B"/>
    <w:rsid w:val="0012616A"/>
    <w:rsid w:val="00133E66"/>
    <w:rsid w:val="001435A3"/>
    <w:rsid w:val="00146ED3"/>
    <w:rsid w:val="00151044"/>
    <w:rsid w:val="001666BB"/>
    <w:rsid w:val="001D08F2"/>
    <w:rsid w:val="001D3A58"/>
    <w:rsid w:val="001D525B"/>
    <w:rsid w:val="001D7F4F"/>
    <w:rsid w:val="00205238"/>
    <w:rsid w:val="002321B6"/>
    <w:rsid w:val="00232912"/>
    <w:rsid w:val="00250967"/>
    <w:rsid w:val="002543C8"/>
    <w:rsid w:val="0025541D"/>
    <w:rsid w:val="00260097"/>
    <w:rsid w:val="00284AAE"/>
    <w:rsid w:val="002B15BF"/>
    <w:rsid w:val="002C72AB"/>
    <w:rsid w:val="002E5912"/>
    <w:rsid w:val="002F6498"/>
    <w:rsid w:val="00301B21"/>
    <w:rsid w:val="0031232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8E3"/>
    <w:rsid w:val="006D58AA"/>
    <w:rsid w:val="00734F00"/>
    <w:rsid w:val="00776A51"/>
    <w:rsid w:val="007A70AE"/>
    <w:rsid w:val="0083517A"/>
    <w:rsid w:val="008362E8"/>
    <w:rsid w:val="0085786E"/>
    <w:rsid w:val="008A1768"/>
    <w:rsid w:val="008A489F"/>
    <w:rsid w:val="008F0F33"/>
    <w:rsid w:val="008F4429"/>
    <w:rsid w:val="0094021A"/>
    <w:rsid w:val="009B44AF"/>
    <w:rsid w:val="009C6A0B"/>
    <w:rsid w:val="009F0C77"/>
    <w:rsid w:val="009F4DD1"/>
    <w:rsid w:val="00A02543"/>
    <w:rsid w:val="00A24FEB"/>
    <w:rsid w:val="00A41684"/>
    <w:rsid w:val="00A64E80"/>
    <w:rsid w:val="00A72BCD"/>
    <w:rsid w:val="00A741D9"/>
    <w:rsid w:val="00A833AB"/>
    <w:rsid w:val="00A846CD"/>
    <w:rsid w:val="00A955B3"/>
    <w:rsid w:val="00A9741D"/>
    <w:rsid w:val="00AC34A2"/>
    <w:rsid w:val="00AD1C9A"/>
    <w:rsid w:val="00AD4B17"/>
    <w:rsid w:val="00B412D4"/>
    <w:rsid w:val="00BE3C22"/>
    <w:rsid w:val="00C0345E"/>
    <w:rsid w:val="00C31C95"/>
    <w:rsid w:val="00C3483A"/>
    <w:rsid w:val="00C74E9D"/>
    <w:rsid w:val="00C826DD"/>
    <w:rsid w:val="00C82FD3"/>
    <w:rsid w:val="00C87A72"/>
    <w:rsid w:val="00C92819"/>
    <w:rsid w:val="00CC6B7B"/>
    <w:rsid w:val="00CD2089"/>
    <w:rsid w:val="00D00D8D"/>
    <w:rsid w:val="00D05C3B"/>
    <w:rsid w:val="00D73A67"/>
    <w:rsid w:val="00D970A9"/>
    <w:rsid w:val="00DB2C96"/>
    <w:rsid w:val="00DF3845"/>
    <w:rsid w:val="00E41911"/>
    <w:rsid w:val="00E44B57"/>
    <w:rsid w:val="00E92EEF"/>
    <w:rsid w:val="00EB3C5D"/>
    <w:rsid w:val="00EF2368"/>
    <w:rsid w:val="00F24442"/>
    <w:rsid w:val="00F50AE3"/>
    <w:rsid w:val="00F655B7"/>
    <w:rsid w:val="00F656BA"/>
    <w:rsid w:val="00F67CF1"/>
    <w:rsid w:val="00F728AA"/>
    <w:rsid w:val="00F840F0"/>
    <w:rsid w:val="00FB0D0D"/>
    <w:rsid w:val="00FB43B4"/>
    <w:rsid w:val="00FB6B0B"/>
    <w:rsid w:val="00FF03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ADF88-E520-4824-88D1-E5A214FB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2C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C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2EEA4-CFE3-458E-BC16-E55EA8077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8501D435</Template>
  <TotalTime>0</TotalTime>
  <Pages>3</Pages>
  <Words>839</Words>
  <Characters>5055</Characters>
  <Application>Microsoft Office Word</Application>
  <DocSecurity>0</DocSecurity>
  <Lines>112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4731 Text of Previous Version (Dec. 5, 2019) - South Carolina Legislature Online</dc:title>
  <dc:creator>Chris Charlton</dc:creator>
  <cp:lastModifiedBy>Lavarres Lynch</cp:lastModifiedBy>
  <cp:revision>2</cp:revision>
  <cp:lastPrinted>2019-11-15T19:33:00Z</cp:lastPrinted>
  <dcterms:created xsi:type="dcterms:W3CDTF">2019-12-05T14:26:00Z</dcterms:created>
  <dcterms:modified xsi:type="dcterms:W3CDTF">2019-12-05T14:26:00Z</dcterms:modified>
</cp:coreProperties>
</file>