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2042">
        <w:rPr>
          <w:rFonts w:eastAsia="Times New Roman" w:cs="Times New Roman"/>
          <w:b/>
          <w:szCs w:val="20"/>
        </w:rPr>
        <w:t>South Carolina General Assembly</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2042">
        <w:rPr>
          <w:rFonts w:eastAsia="Times New Roman" w:cs="Times New Roman"/>
          <w:szCs w:val="20"/>
        </w:rPr>
        <w:t>124th Session, 2021-2022</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D51C56"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A228, R259, S1087</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b/>
          <w:szCs w:val="20"/>
        </w:rPr>
        <w:t>STATUS INFORMATION</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szCs w:val="20"/>
        </w:rPr>
        <w:t>General Bill</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szCs w:val="20"/>
        </w:rPr>
        <w:t>Sponsors: Senators Peeler, Alexander, Kimbrell, Shealy, Turner, Climer, M. Johnson, Martin, Corbin, Davis, Massey, Rice, Adams, Garrett, Cash, Young, Malloy, Williams, Loftis, Gambrell, Talley, Cromer, Scott, Jackson, Stephens, Campsen, Verdin, Grooms and McElveen</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szCs w:val="20"/>
        </w:rPr>
        <w:t>Document Path: l:\council\bills\nbd\11335dg22.docx</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2022</w:t>
      </w: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567939" w:rsidRDefault="00567939"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szCs w:val="20"/>
        </w:rPr>
        <w:t>Summary: Comprehensive tax cut act of 2022</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372042" w:rsidP="00372042">
      <w:pPr>
        <w:widowControl w:val="0"/>
        <w:tabs>
          <w:tab w:val="center" w:pos="590"/>
          <w:tab w:val="center" w:pos="1440"/>
          <w:tab w:val="left" w:pos="1872"/>
          <w:tab w:val="left" w:pos="9187"/>
        </w:tabs>
        <w:rPr>
          <w:rFonts w:eastAsia="Times New Roman" w:cs="Times New Roman"/>
          <w:szCs w:val="20"/>
        </w:rPr>
      </w:pPr>
      <w:r w:rsidRPr="00372042">
        <w:rPr>
          <w:rFonts w:eastAsia="Times New Roman" w:cs="Times New Roman"/>
          <w:b/>
          <w:szCs w:val="20"/>
        </w:rPr>
        <w:t>HISTORY OF LEGISLATIVE ACTIONS</w:t>
      </w:r>
    </w:p>
    <w:p w:rsidR="00372042" w:rsidRPr="00372042" w:rsidRDefault="00372042" w:rsidP="00372042">
      <w:pPr>
        <w:widowControl w:val="0"/>
        <w:tabs>
          <w:tab w:val="center" w:pos="590"/>
          <w:tab w:val="center" w:pos="1440"/>
          <w:tab w:val="left" w:pos="1872"/>
          <w:tab w:val="left" w:pos="9187"/>
        </w:tabs>
        <w:rPr>
          <w:rFonts w:eastAsia="Times New Roman" w:cs="Times New Roman"/>
          <w:szCs w:val="20"/>
        </w:rPr>
      </w:pPr>
    </w:p>
    <w:p w:rsidR="00372042" w:rsidRPr="00372042" w:rsidRDefault="00372042" w:rsidP="00372042">
      <w:pPr>
        <w:widowControl w:val="0"/>
        <w:tabs>
          <w:tab w:val="center" w:pos="590"/>
          <w:tab w:val="center" w:pos="1440"/>
          <w:tab w:val="left" w:pos="1872"/>
          <w:tab w:val="left" w:pos="9187"/>
        </w:tabs>
        <w:rPr>
          <w:rFonts w:eastAsia="Times New Roman" w:cs="Times New Roman"/>
          <w:szCs w:val="20"/>
        </w:rPr>
      </w:pPr>
      <w:r w:rsidRPr="00372042">
        <w:rPr>
          <w:rFonts w:eastAsia="Times New Roman" w:cs="Times New Roman"/>
          <w:szCs w:val="20"/>
          <w:u w:val="single"/>
        </w:rPr>
        <w:tab/>
        <w:t>Date</w:t>
      </w:r>
      <w:r w:rsidRPr="00372042">
        <w:rPr>
          <w:rFonts w:eastAsia="Times New Roman" w:cs="Times New Roman"/>
          <w:szCs w:val="20"/>
          <w:u w:val="single"/>
        </w:rPr>
        <w:tab/>
        <w:t>Body</w:t>
      </w:r>
      <w:r w:rsidRPr="00372042">
        <w:rPr>
          <w:rFonts w:eastAsia="Times New Roman" w:cs="Times New Roman"/>
          <w:szCs w:val="20"/>
          <w:u w:val="single"/>
        </w:rPr>
        <w:tab/>
        <w:t>Action Description with journal page number</w:t>
      </w:r>
      <w:r w:rsidRPr="00372042">
        <w:rPr>
          <w:rFonts w:eastAsia="Times New Roman" w:cs="Times New Roman"/>
          <w:szCs w:val="20"/>
          <w:u w:val="single"/>
        </w:rPr>
        <w:tab/>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Introduced and read first time (</w:t>
      </w:r>
      <w:hyperlink r:id="rId6" w:history="1">
        <w:r w:rsidRPr="00601C3C">
          <w:rPr>
            <w:rStyle w:val="Hyperlink"/>
            <w:rFonts w:cs="Times New Roman"/>
          </w:rPr>
          <w:t>Senate Journal</w:t>
        </w:r>
        <w:r w:rsidRPr="00601C3C">
          <w:rPr>
            <w:rStyle w:val="Hyperlink"/>
            <w:rFonts w:cs="Times New Roman"/>
          </w:rPr>
          <w:noBreakHyphen/>
          <w:t>page 6</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Referred to Committee on </w:t>
      </w:r>
      <w:r w:rsidRPr="00601C3C">
        <w:rPr>
          <w:rFonts w:cs="Times New Roman"/>
          <w:b/>
        </w:rPr>
        <w:t>Finance</w:t>
      </w:r>
      <w:r>
        <w:rPr>
          <w:rFonts w:cs="Times New Roman"/>
        </w:rPr>
        <w:t xml:space="preserve"> (</w:t>
      </w:r>
      <w:hyperlink r:id="rId7" w:history="1">
        <w:r w:rsidRPr="00601C3C">
          <w:rPr>
            <w:rStyle w:val="Hyperlink"/>
            <w:rFonts w:cs="Times New Roman"/>
          </w:rPr>
          <w:t>Senate Journal</w:t>
        </w:r>
        <w:r w:rsidRPr="00601C3C">
          <w:rPr>
            <w:rStyle w:val="Hyperlink"/>
            <w:rFonts w:cs="Times New Roman"/>
          </w:rPr>
          <w:noBreakHyphen/>
          <w:t>page 6</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Committee report: Favorable with amendment </w:t>
      </w:r>
      <w:r w:rsidRPr="00601C3C">
        <w:rPr>
          <w:rFonts w:cs="Times New Roman"/>
          <w:b/>
        </w:rPr>
        <w:t>Finance</w:t>
      </w:r>
      <w:r>
        <w:rPr>
          <w:rFonts w:cs="Times New Roman"/>
        </w:rPr>
        <w:t xml:space="preserve"> (</w:t>
      </w:r>
      <w:hyperlink r:id="rId8" w:history="1">
        <w:r w:rsidRPr="00601C3C">
          <w:rPr>
            <w:rStyle w:val="Hyperlink"/>
            <w:rFonts w:cs="Times New Roman"/>
          </w:rPr>
          <w:t>Senate Journal</w:t>
        </w:r>
        <w:r w:rsidRPr="00601C3C">
          <w:rPr>
            <w:rStyle w:val="Hyperlink"/>
            <w:rFonts w:cs="Times New Roman"/>
          </w:rPr>
          <w:noBreakHyphen/>
          <w:t>page 13</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Committee Amendment Adopted (</w:t>
      </w:r>
      <w:hyperlink r:id="rId9" w:history="1">
        <w:r w:rsidRPr="00601C3C">
          <w:rPr>
            <w:rStyle w:val="Hyperlink"/>
            <w:rFonts w:cs="Times New Roman"/>
          </w:rPr>
          <w:t>Senate Journal</w:t>
        </w:r>
        <w:r w:rsidRPr="00601C3C">
          <w:rPr>
            <w:rStyle w:val="Hyperlink"/>
            <w:rFonts w:cs="Times New Roman"/>
          </w:rPr>
          <w:noBreakHyphen/>
          <w:t>page 17</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10" w:history="1">
        <w:r w:rsidRPr="00601C3C">
          <w:rPr>
            <w:rStyle w:val="Hyperlink"/>
            <w:rFonts w:cs="Times New Roman"/>
          </w:rPr>
          <w:t>Senate Journal</w:t>
        </w:r>
        <w:r w:rsidRPr="00601C3C">
          <w:rPr>
            <w:rStyle w:val="Hyperlink"/>
            <w:rFonts w:cs="Times New Roman"/>
          </w:rPr>
          <w:noBreakHyphen/>
          <w:t>page 17</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1" w:history="1">
        <w:r w:rsidRPr="00601C3C">
          <w:rPr>
            <w:rStyle w:val="Hyperlink"/>
            <w:rFonts w:cs="Times New Roman"/>
          </w:rPr>
          <w:t>Senate Journal</w:t>
        </w:r>
        <w:r w:rsidRPr="00601C3C">
          <w:rPr>
            <w:rStyle w:val="Hyperlink"/>
            <w:rFonts w:cs="Times New Roman"/>
          </w:rPr>
          <w:noBreakHyphen/>
          <w:t>page 17</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Read third time and sent to House (</w:t>
      </w:r>
      <w:hyperlink r:id="rId12" w:history="1">
        <w:r w:rsidRPr="00601C3C">
          <w:rPr>
            <w:rStyle w:val="Hyperlink"/>
            <w:rFonts w:cs="Times New Roman"/>
          </w:rPr>
          <w:t>Senate Journal</w:t>
        </w:r>
        <w:r w:rsidRPr="00601C3C">
          <w:rPr>
            <w:rStyle w:val="Hyperlink"/>
            <w:rFonts w:cs="Times New Roman"/>
          </w:rPr>
          <w:noBreakHyphen/>
          <w:t>page 19</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3" w:history="1">
        <w:r w:rsidRPr="00601C3C">
          <w:rPr>
            <w:rStyle w:val="Hyperlink"/>
            <w:rFonts w:cs="Times New Roman"/>
          </w:rPr>
          <w:t>Senate Journal</w:t>
        </w:r>
        <w:r w:rsidRPr="00601C3C">
          <w:rPr>
            <w:rStyle w:val="Hyperlink"/>
            <w:rFonts w:cs="Times New Roman"/>
          </w:rPr>
          <w:noBreakHyphen/>
          <w:t>page 19</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4" w:history="1">
        <w:r w:rsidRPr="00601C3C">
          <w:rPr>
            <w:rStyle w:val="Hyperlink"/>
            <w:rFonts w:cs="Times New Roman"/>
          </w:rPr>
          <w:t>House Journal</w:t>
        </w:r>
        <w:r w:rsidRPr="00601C3C">
          <w:rPr>
            <w:rStyle w:val="Hyperlink"/>
            <w:rFonts w:cs="Times New Roman"/>
          </w:rPr>
          <w:noBreakHyphen/>
          <w:t>page 38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601C3C">
        <w:rPr>
          <w:rFonts w:cs="Times New Roman"/>
          <w:b/>
        </w:rPr>
        <w:t>Ways and Means</w:t>
      </w:r>
      <w:r>
        <w:rPr>
          <w:rFonts w:cs="Times New Roman"/>
        </w:rPr>
        <w:t xml:space="preserve"> (</w:t>
      </w:r>
      <w:hyperlink r:id="rId15" w:history="1">
        <w:r w:rsidRPr="00601C3C">
          <w:rPr>
            <w:rStyle w:val="Hyperlink"/>
            <w:rFonts w:cs="Times New Roman"/>
          </w:rPr>
          <w:t>House Journal</w:t>
        </w:r>
        <w:r w:rsidRPr="00601C3C">
          <w:rPr>
            <w:rStyle w:val="Hyperlink"/>
            <w:rFonts w:cs="Times New Roman"/>
          </w:rPr>
          <w:noBreakHyphen/>
          <w:t>page 38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 xml:space="preserve">Committee report: Favorable with amendment </w:t>
      </w:r>
      <w:r w:rsidRPr="00601C3C">
        <w:rPr>
          <w:rFonts w:cs="Times New Roman"/>
          <w:b/>
        </w:rPr>
        <w:t>Ways and Means</w:t>
      </w:r>
      <w:r>
        <w:rPr>
          <w:rFonts w:cs="Times New Roman"/>
        </w:rPr>
        <w:t xml:space="preserve"> (</w:t>
      </w:r>
      <w:hyperlink r:id="rId16" w:history="1">
        <w:r w:rsidRPr="00601C3C">
          <w:rPr>
            <w:rStyle w:val="Hyperlink"/>
            <w:rFonts w:cs="Times New Roman"/>
          </w:rPr>
          <w:t>House Journal</w:t>
        </w:r>
        <w:r w:rsidRPr="00601C3C">
          <w:rPr>
            <w:rStyle w:val="Hyperlink"/>
            <w:rFonts w:cs="Times New Roman"/>
          </w:rPr>
          <w:noBreakHyphen/>
          <w:t>page 83</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r>
      <w:r>
        <w:rPr>
          <w:rFonts w:cs="Times New Roman"/>
        </w:rPr>
        <w:tab/>
        <w:t>Scrivener's error corrected</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7" w:history="1">
        <w:r w:rsidRPr="00601C3C">
          <w:rPr>
            <w:rStyle w:val="Hyperlink"/>
            <w:rFonts w:cs="Times New Roman"/>
          </w:rPr>
          <w:t>House Journal</w:t>
        </w:r>
        <w:r w:rsidRPr="00601C3C">
          <w:rPr>
            <w:rStyle w:val="Hyperlink"/>
            <w:rFonts w:cs="Times New Roman"/>
          </w:rPr>
          <w:noBreakHyphen/>
          <w:t>page 588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8" w:history="1">
        <w:r w:rsidRPr="00601C3C">
          <w:rPr>
            <w:rStyle w:val="Hyperlink"/>
            <w:rFonts w:cs="Times New Roman"/>
          </w:rPr>
          <w:t>House Journal</w:t>
        </w:r>
        <w:r w:rsidRPr="00601C3C">
          <w:rPr>
            <w:rStyle w:val="Hyperlink"/>
            <w:rFonts w:cs="Times New Roman"/>
          </w:rPr>
          <w:noBreakHyphen/>
          <w:t>page 588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9" w:history="1">
        <w:r w:rsidRPr="00601C3C">
          <w:rPr>
            <w:rStyle w:val="Hyperlink"/>
            <w:rFonts w:cs="Times New Roman"/>
          </w:rPr>
          <w:t>House Journal</w:t>
        </w:r>
        <w:r w:rsidRPr="00601C3C">
          <w:rPr>
            <w:rStyle w:val="Hyperlink"/>
            <w:rFonts w:cs="Times New Roman"/>
          </w:rPr>
          <w:noBreakHyphen/>
          <w:t>page 594</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Reconsider vote whereby read second time (</w:t>
      </w:r>
      <w:hyperlink r:id="rId20" w:history="1">
        <w:r w:rsidRPr="00601C3C">
          <w:rPr>
            <w:rStyle w:val="Hyperlink"/>
            <w:rFonts w:cs="Times New Roman"/>
          </w:rPr>
          <w:t>House Journal</w:t>
        </w:r>
        <w:r w:rsidRPr="00601C3C">
          <w:rPr>
            <w:rStyle w:val="Hyperlink"/>
            <w:rFonts w:cs="Times New Roman"/>
          </w:rPr>
          <w:noBreakHyphen/>
          <w:t>page 612</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Debate adjourned (</w:t>
      </w:r>
      <w:hyperlink r:id="rId21" w:history="1">
        <w:r w:rsidRPr="00601C3C">
          <w:rPr>
            <w:rStyle w:val="Hyperlink"/>
            <w:rFonts w:cs="Times New Roman"/>
          </w:rPr>
          <w:t>House Journal</w:t>
        </w:r>
        <w:r w:rsidRPr="00601C3C">
          <w:rPr>
            <w:rStyle w:val="Hyperlink"/>
            <w:rFonts w:cs="Times New Roman"/>
          </w:rPr>
          <w:noBreakHyphen/>
          <w:t>page 612</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Motion to reconsider tabled</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22" w:history="1">
        <w:r w:rsidRPr="00601C3C">
          <w:rPr>
            <w:rStyle w:val="Hyperlink"/>
            <w:rFonts w:cs="Times New Roman"/>
          </w:rPr>
          <w:t>House Journal</w:t>
        </w:r>
        <w:r w:rsidRPr="00601C3C">
          <w:rPr>
            <w:rStyle w:val="Hyperlink"/>
            <w:rFonts w:cs="Times New Roman"/>
          </w:rPr>
          <w:noBreakHyphen/>
          <w:t>page 11</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 (</w:t>
      </w:r>
      <w:hyperlink r:id="rId23" w:history="1">
        <w:r w:rsidRPr="00601C3C">
          <w:rPr>
            <w:rStyle w:val="Hyperlink"/>
            <w:rFonts w:cs="Times New Roman"/>
          </w:rPr>
          <w:t>Senate Journal</w:t>
        </w:r>
        <w:r w:rsidRPr="00601C3C">
          <w:rPr>
            <w:rStyle w:val="Hyperlink"/>
            <w:rFonts w:cs="Times New Roman"/>
          </w:rPr>
          <w:noBreakHyphen/>
          <w:t>page 178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House insists upon amendment and conference committee appointed Reps.  Simrill, GM Smith, Rutherford (</w:t>
      </w:r>
      <w:hyperlink r:id="rId24" w:history="1">
        <w:r w:rsidRPr="00601C3C">
          <w:rPr>
            <w:rStyle w:val="Hyperlink"/>
            <w:rFonts w:cs="Times New Roman"/>
          </w:rPr>
          <w:t>House Journal</w:t>
        </w:r>
        <w:r w:rsidRPr="00601C3C">
          <w:rPr>
            <w:rStyle w:val="Hyperlink"/>
            <w:rFonts w:cs="Times New Roman"/>
          </w:rPr>
          <w:noBreakHyphen/>
          <w:t>page 295</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Peeler, Setzler, Alexander (</w:t>
      </w:r>
      <w:hyperlink r:id="rId25" w:history="1">
        <w:r w:rsidRPr="00601C3C">
          <w:rPr>
            <w:rStyle w:val="Hyperlink"/>
            <w:rFonts w:cs="Times New Roman"/>
          </w:rPr>
          <w:t>Senate Journal</w:t>
        </w:r>
        <w:r w:rsidRPr="00601C3C">
          <w:rPr>
            <w:rStyle w:val="Hyperlink"/>
            <w:rFonts w:cs="Times New Roman"/>
          </w:rPr>
          <w:noBreakHyphen/>
          <w:t>page 34</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6" w:history="1">
        <w:r w:rsidRPr="00601C3C">
          <w:rPr>
            <w:rStyle w:val="Hyperlink"/>
            <w:rFonts w:cs="Times New Roman"/>
          </w:rPr>
          <w:t>House Journal</w:t>
        </w:r>
        <w:r w:rsidRPr="00601C3C">
          <w:rPr>
            <w:rStyle w:val="Hyperlink"/>
            <w:rFonts w:cs="Times New Roman"/>
          </w:rPr>
          <w:noBreakHyphen/>
          <w:t>page 47</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27" w:history="1">
        <w:r w:rsidRPr="00601C3C">
          <w:rPr>
            <w:rStyle w:val="Hyperlink"/>
            <w:rFonts w:cs="Times New Roman"/>
          </w:rPr>
          <w:t>House Journal</w:t>
        </w:r>
        <w:r w:rsidRPr="00601C3C">
          <w:rPr>
            <w:rStyle w:val="Hyperlink"/>
            <w:rFonts w:cs="Times New Roman"/>
          </w:rPr>
          <w:noBreakHyphen/>
          <w:t>page 52</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8" w:history="1">
        <w:r w:rsidRPr="00601C3C">
          <w:rPr>
            <w:rStyle w:val="Hyperlink"/>
            <w:rFonts w:cs="Times New Roman"/>
          </w:rPr>
          <w:t>Senate Journal</w:t>
        </w:r>
        <w:r w:rsidRPr="00601C3C">
          <w:rPr>
            <w:rStyle w:val="Hyperlink"/>
            <w:rFonts w:cs="Times New Roman"/>
          </w:rPr>
          <w:noBreakHyphen/>
          <w:t>page 28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9" w:history="1">
        <w:r w:rsidRPr="00601C3C">
          <w:rPr>
            <w:rStyle w:val="Hyperlink"/>
            <w:rFonts w:cs="Times New Roman"/>
          </w:rPr>
          <w:t>Senate Journal</w:t>
        </w:r>
        <w:r w:rsidRPr="00601C3C">
          <w:rPr>
            <w:rStyle w:val="Hyperlink"/>
            <w:rFonts w:cs="Times New Roman"/>
          </w:rPr>
          <w:noBreakHyphen/>
          <w:t>page 28</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lastRenderedPageBreak/>
        <w:tab/>
        <w:t>6/15/2022</w:t>
      </w:r>
      <w:r>
        <w:rPr>
          <w:rFonts w:cs="Times New Roman"/>
        </w:rPr>
        <w:tab/>
        <w:t>Senate</w:t>
      </w:r>
      <w:r>
        <w:rPr>
          <w:rFonts w:cs="Times New Roman"/>
        </w:rPr>
        <w:tab/>
        <w:t>Ordered enrolled for ratification (</w:t>
      </w:r>
      <w:hyperlink r:id="rId30" w:history="1">
        <w:r w:rsidRPr="00601C3C">
          <w:rPr>
            <w:rStyle w:val="Hyperlink"/>
            <w:rFonts w:cs="Times New Roman"/>
          </w:rPr>
          <w:t>Senate Journal</w:t>
        </w:r>
        <w:r w:rsidRPr="00601C3C">
          <w:rPr>
            <w:rStyle w:val="Hyperlink"/>
            <w:rFonts w:cs="Times New Roman"/>
          </w:rPr>
          <w:noBreakHyphen/>
          <w:t>page 30</w:t>
        </w:r>
      </w:hyperlink>
      <w:r>
        <w:rPr>
          <w:rFonts w:cs="Times New Roman"/>
        </w:rPr>
        <w:t>)</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259</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See Act for Effective Date</w:t>
      </w:r>
    </w:p>
    <w:p w:rsidR="00EB2ABC" w:rsidRDefault="00EB2ABC" w:rsidP="00EB2ABC">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228</w:t>
      </w:r>
    </w:p>
    <w:p w:rsidR="00EB2ABC" w:rsidRDefault="00EB2ABC" w:rsidP="00EB2ABC">
      <w:pPr>
        <w:widowControl w:val="0"/>
        <w:tabs>
          <w:tab w:val="right" w:pos="1008"/>
          <w:tab w:val="left" w:pos="1152"/>
          <w:tab w:val="left" w:pos="1872"/>
          <w:tab w:val="left" w:pos="9187"/>
        </w:tabs>
        <w:ind w:left="2088" w:hanging="2088"/>
        <w:rPr>
          <w:rFonts w:cs="Times New Roman"/>
        </w:rPr>
      </w:pPr>
    </w:p>
    <w:p w:rsidR="00372042" w:rsidRPr="00372042" w:rsidRDefault="00372042" w:rsidP="00372042">
      <w:pPr>
        <w:widowControl w:val="0"/>
        <w:tabs>
          <w:tab w:val="right" w:pos="1008"/>
          <w:tab w:val="left" w:pos="1152"/>
          <w:tab w:val="left" w:pos="1872"/>
          <w:tab w:val="left" w:pos="9187"/>
        </w:tabs>
        <w:ind w:left="2088" w:hanging="2088"/>
        <w:rPr>
          <w:rFonts w:eastAsia="Times New Roman" w:cs="Times New Roman"/>
          <w:szCs w:val="20"/>
        </w:rPr>
      </w:pPr>
      <w:r w:rsidRPr="00372042">
        <w:rPr>
          <w:rFonts w:eastAsia="Times New Roman" w:cs="Times New Roman"/>
          <w:szCs w:val="20"/>
        </w:rPr>
        <w:t xml:space="preserve">View the latest </w:t>
      </w:r>
      <w:hyperlink r:id="rId31" w:history="1">
        <w:r w:rsidRPr="00372042">
          <w:rPr>
            <w:rFonts w:eastAsia="Times New Roman" w:cs="Times New Roman"/>
            <w:color w:val="0000FF" w:themeColor="hyperlink"/>
            <w:szCs w:val="20"/>
            <w:u w:val="single"/>
          </w:rPr>
          <w:t>legislative information</w:t>
        </w:r>
      </w:hyperlink>
      <w:r w:rsidRPr="00372042">
        <w:rPr>
          <w:rFonts w:eastAsia="Times New Roman" w:cs="Times New Roman"/>
          <w:szCs w:val="20"/>
        </w:rPr>
        <w:t xml:space="preserve"> at the website</w:t>
      </w:r>
    </w:p>
    <w:p w:rsidR="00372042" w:rsidRPr="00372042" w:rsidRDefault="00372042" w:rsidP="00372042">
      <w:pPr>
        <w:widowControl w:val="0"/>
        <w:tabs>
          <w:tab w:val="right" w:pos="1008"/>
          <w:tab w:val="left" w:pos="1152"/>
          <w:tab w:val="left" w:pos="1872"/>
          <w:tab w:val="left" w:pos="9187"/>
        </w:tabs>
        <w:ind w:left="2088" w:hanging="2088"/>
        <w:rPr>
          <w:rFonts w:eastAsia="Times New Roman" w:cs="Times New Roman"/>
          <w:szCs w:val="20"/>
        </w:rPr>
      </w:pPr>
    </w:p>
    <w:p w:rsidR="00372042" w:rsidRPr="00372042" w:rsidRDefault="00372042" w:rsidP="00372042">
      <w:pPr>
        <w:widowControl w:val="0"/>
        <w:tabs>
          <w:tab w:val="right" w:pos="1008"/>
          <w:tab w:val="left" w:pos="1152"/>
          <w:tab w:val="left" w:pos="1872"/>
          <w:tab w:val="left" w:pos="9187"/>
        </w:tabs>
        <w:ind w:left="2088" w:hanging="2088"/>
        <w:rPr>
          <w:rFonts w:eastAsia="Times New Roman" w:cs="Times New Roman"/>
          <w:szCs w:val="20"/>
        </w:rPr>
      </w:pP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2042">
        <w:rPr>
          <w:rFonts w:eastAsia="Times New Roman" w:cs="Times New Roman"/>
          <w:b/>
          <w:szCs w:val="20"/>
        </w:rPr>
        <w:t>VERSIONS OF THIS BILL</w:t>
      </w:r>
    </w:p>
    <w:p w:rsidR="00372042" w:rsidRPr="00372042" w:rsidRDefault="00372042"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2042" w:rsidRPr="00372042" w:rsidRDefault="00EA6495" w:rsidP="00372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372042" w:rsidRPr="00372042">
          <w:rPr>
            <w:rFonts w:eastAsia="Times New Roman" w:cs="Times New Roman"/>
            <w:color w:val="0000FF" w:themeColor="hyperlink"/>
            <w:szCs w:val="20"/>
            <w:u w:val="single"/>
          </w:rPr>
          <w:t>2/17/2022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72042" w:rsidRPr="00372042">
          <w:rPr>
            <w:rFonts w:eastAsia="Times New Roman" w:cs="Times New Roman"/>
            <w:color w:val="0000FF" w:themeColor="hyperlink"/>
            <w:szCs w:val="20"/>
            <w:u w:val="single"/>
          </w:rPr>
          <w:t>3/8/2022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72042" w:rsidRPr="00372042">
          <w:rPr>
            <w:rFonts w:eastAsia="Times New Roman" w:cs="Times New Roman"/>
            <w:color w:val="0000FF" w:themeColor="hyperlink"/>
            <w:szCs w:val="20"/>
            <w:u w:val="single"/>
          </w:rPr>
          <w:t>3/10/2022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72042" w:rsidRPr="00372042">
          <w:rPr>
            <w:rFonts w:eastAsia="Times New Roman" w:cs="Times New Roman"/>
            <w:color w:val="0000FF" w:themeColor="hyperlink"/>
            <w:szCs w:val="20"/>
            <w:u w:val="single"/>
          </w:rPr>
          <w:t>5/5/2022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72042" w:rsidRPr="00372042">
          <w:rPr>
            <w:rFonts w:eastAsia="Times New Roman" w:cs="Times New Roman"/>
            <w:color w:val="0000FF" w:themeColor="hyperlink"/>
            <w:szCs w:val="20"/>
            <w:u w:val="single"/>
          </w:rPr>
          <w:t>5/6/2022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72042" w:rsidRPr="00372042">
          <w:rPr>
            <w:rFonts w:eastAsia="Times New Roman" w:cs="Times New Roman"/>
            <w:color w:val="0000FF" w:themeColor="hyperlink"/>
            <w:szCs w:val="20"/>
            <w:u w:val="single"/>
          </w:rPr>
          <w:t>5/10/2022</w:t>
        </w:r>
      </w:hyperlink>
    </w:p>
    <w:p w:rsidR="00372042" w:rsidRPr="00372042" w:rsidRDefault="00EA6495"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72042" w:rsidRPr="00372042">
          <w:rPr>
            <w:rFonts w:eastAsia="Times New Roman" w:cs="Times New Roman"/>
            <w:color w:val="0000FF" w:themeColor="hyperlink"/>
            <w:szCs w:val="20"/>
            <w:u w:val="single"/>
          </w:rPr>
          <w:t>6/15/2022</w:t>
        </w:r>
      </w:hyperlink>
    </w:p>
    <w:p w:rsidR="00372042" w:rsidRPr="00372042" w:rsidRDefault="00372042"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2042" w:rsidRDefault="00372042" w:rsidP="00372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2042" w:rsidSect="00372042">
          <w:pgSz w:w="12240" w:h="15840" w:code="1"/>
          <w:pgMar w:top="1080" w:right="1440" w:bottom="1080" w:left="1440" w:header="720" w:footer="720" w:gutter="0"/>
          <w:pgNumType w:start="1"/>
          <w:cols w:space="720"/>
          <w:noEndnote/>
          <w:docGrid w:linePitch="360"/>
        </w:sectPr>
      </w:pP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R259, S1087)</w:t>
      </w:r>
    </w:p>
    <w:p w:rsidR="00DA6A3F" w:rsidRPr="008836A5"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6A3F" w:rsidRPr="00372042"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2042">
        <w:rPr>
          <w:rFonts w:cs="Times New Roman"/>
          <w:b/>
          <w:color w:val="000000" w:themeColor="text1"/>
          <w:szCs w:val="36"/>
        </w:rPr>
        <w:t xml:space="preserve">AN ACT </w:t>
      </w:r>
      <w:r w:rsidRPr="00372042">
        <w:rPr>
          <w:rFonts w:cs="Times New Roman"/>
          <w:b/>
          <w:color w:val="000000" w:themeColor="text1"/>
          <w:u w:color="000000" w:themeColor="text1"/>
        </w:rPr>
        <w:t>TO AMEND THE CODE OF LAWS OF SOUTH CAROLINA, 1976, SO AS TO ENACT THE “COMPREHENSIVE TAX CUT ACT OF 2022”; TO AMEND SECTION 12</w:t>
      </w:r>
      <w:r w:rsidRPr="00372042">
        <w:rPr>
          <w:rFonts w:cs="Times New Roman"/>
          <w:b/>
          <w:color w:val="000000" w:themeColor="text1"/>
          <w:u w:color="000000" w:themeColor="text1"/>
        </w:rPr>
        <w:noBreakHyphen/>
        <w:t>6</w:t>
      </w:r>
      <w:r w:rsidRPr="00372042">
        <w:rPr>
          <w:rFonts w:cs="Times New Roman"/>
          <w:b/>
          <w:color w:val="000000" w:themeColor="text1"/>
          <w:u w:color="000000" w:themeColor="text1"/>
        </w:rPr>
        <w:noBreakHyphen/>
        <w:t>510, RELATING TO THE INDIVIDUAL INCOME TAX, SO AS TO PHASE</w:t>
      </w:r>
      <w:r w:rsidRPr="00372042">
        <w:rPr>
          <w:rFonts w:cs="Times New Roman"/>
          <w:b/>
          <w:color w:val="000000" w:themeColor="text1"/>
          <w:u w:color="000000" w:themeColor="text1"/>
        </w:rPr>
        <w:noBreakHyphen/>
        <w:t>IN A REDUCTION OF THE TOP MARGINAL RATE TO SIX PERCENT AND TO COLLAPSE OTHER INCOME TAX BRACKETS INTO THE BRACKET TO WHICH THE THREE PERCENT RATE APPLIES; TO AMEND SECTION 12</w:t>
      </w:r>
      <w:r w:rsidRPr="00372042">
        <w:rPr>
          <w:rFonts w:cs="Times New Roman"/>
          <w:b/>
          <w:color w:val="000000" w:themeColor="text1"/>
          <w:u w:color="000000" w:themeColor="text1"/>
        </w:rPr>
        <w:noBreakHyphen/>
        <w:t>6</w:t>
      </w:r>
      <w:r w:rsidRPr="00372042">
        <w:rPr>
          <w:rFonts w:cs="Times New Roman"/>
          <w:b/>
          <w:color w:val="000000" w:themeColor="text1"/>
          <w:u w:color="000000" w:themeColor="text1"/>
        </w:rPr>
        <w:noBreakHyphen/>
        <w:t>1171, RELATING TO THE MILITARY RETIREMENT DEDUCTION, SO AS TO EXEMPT ALL MILITARY RETIREMENT INCOME; TO REPEAL SECTION 12</w:t>
      </w:r>
      <w:r w:rsidRPr="00372042">
        <w:rPr>
          <w:rFonts w:cs="Times New Roman"/>
          <w:b/>
          <w:color w:val="000000" w:themeColor="text1"/>
          <w:u w:color="000000" w:themeColor="text1"/>
        </w:rPr>
        <w:noBreakHyphen/>
        <w:t>6</w:t>
      </w:r>
      <w:r w:rsidRPr="00372042">
        <w:rPr>
          <w:rFonts w:cs="Times New Roman"/>
          <w:b/>
          <w:color w:val="000000" w:themeColor="text1"/>
          <w:u w:color="000000" w:themeColor="text1"/>
        </w:rPr>
        <w:noBreakHyphen/>
        <w:t>515 RELATING TO AN ARCHAIC INDIVIDUAL INCOME TAX PROVISION; TO AMEND SECTION 12</w:t>
      </w:r>
      <w:r w:rsidRPr="00372042">
        <w:rPr>
          <w:rFonts w:cs="Times New Roman"/>
          <w:b/>
          <w:color w:val="000000" w:themeColor="text1"/>
          <w:u w:color="000000" w:themeColor="text1"/>
        </w:rPr>
        <w:noBreakHyphen/>
        <w:t>37</w:t>
      </w:r>
      <w:r w:rsidRPr="00372042">
        <w:rPr>
          <w:rFonts w:cs="Times New Roman"/>
          <w:b/>
          <w:color w:val="000000" w:themeColor="text1"/>
          <w:u w:color="000000" w:themeColor="text1"/>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23F">
        <w:rPr>
          <w:rFonts w:cs="Times New Roman"/>
        </w:rPr>
        <w:t>Be it enacted by the General Assembly of the State of South Carolina:</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23F">
        <w:rPr>
          <w:rFonts w:eastAsia="Calibri" w:cs="Times New Roman"/>
          <w:color w:val="000000"/>
          <w:u w:color="000000"/>
        </w:rPr>
        <w:t>SECTION</w:t>
      </w:r>
      <w:r w:rsidRPr="00C3123F">
        <w:rPr>
          <w:rFonts w:eastAsia="Calibri" w:cs="Times New Roman"/>
          <w:color w:val="000000"/>
          <w:u w:color="000000"/>
        </w:rPr>
        <w:tab/>
        <w:t>1.</w:t>
      </w:r>
      <w:r w:rsidRPr="00C3123F">
        <w:rPr>
          <w:rFonts w:eastAsia="Calibri" w:cs="Times New Roman"/>
          <w:color w:val="000000"/>
          <w:u w:color="000000"/>
        </w:rPr>
        <w:tab/>
        <w:t>This act may be cited as the “Comprehensive Tax Cut Act of 2022”.</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23F">
        <w:rPr>
          <w:rFonts w:cs="Times New Roman"/>
        </w:rPr>
        <w:t>SECTION</w:t>
      </w:r>
      <w:r w:rsidRPr="00C3123F">
        <w:rPr>
          <w:rFonts w:cs="Times New Roman"/>
        </w:rPr>
        <w:tab/>
      </w:r>
      <w:r w:rsidRPr="00C3123F">
        <w:rPr>
          <w:rFonts w:cs="Times New Roman"/>
          <w:u w:color="000000"/>
        </w:rPr>
        <w:t>2.</w:t>
      </w:r>
      <w:r w:rsidRPr="00C3123F">
        <w:rPr>
          <w:rFonts w:cs="Times New Roman"/>
          <w:u w:color="000000"/>
        </w:rPr>
        <w:tab/>
        <w:t>Section 12</w:t>
      </w:r>
      <w:r w:rsidRPr="00C3123F">
        <w:rPr>
          <w:rFonts w:cs="Times New Roman"/>
          <w:u w:color="000000"/>
        </w:rPr>
        <w:noBreakHyphen/>
        <w:t>6</w:t>
      </w:r>
      <w:r w:rsidRPr="00C3123F">
        <w:rPr>
          <w:rFonts w:cs="Times New Roman"/>
          <w:u w:color="000000"/>
        </w:rPr>
        <w:noBreakHyphen/>
        <w:t>510 of the 1976 Code is amended to read:</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t>“Section 12</w:t>
      </w:r>
      <w:r w:rsidRPr="00C3123F">
        <w:rPr>
          <w:rFonts w:cs="Times New Roman"/>
          <w:u w:color="000000"/>
        </w:rPr>
        <w:noBreakHyphen/>
        <w:t>6</w:t>
      </w:r>
      <w:r w:rsidRPr="00C3123F">
        <w:rPr>
          <w:rFonts w:cs="Times New Roman"/>
          <w:u w:color="000000"/>
        </w:rPr>
        <w:noBreakHyphen/>
        <w:t>510.</w:t>
      </w:r>
      <w:r w:rsidRPr="00C3123F">
        <w:rPr>
          <w:rFonts w:cs="Times New Roman"/>
          <w:u w:color="000000"/>
        </w:rPr>
        <w:tab/>
        <w:t>(A)</w:t>
      </w:r>
      <w:r w:rsidRPr="00C3123F">
        <w:rPr>
          <w:rFonts w:cs="Times New Roman"/>
          <w:u w:color="000000"/>
        </w:rPr>
        <w:tab/>
        <w:t>Subject to the provisions of subsection (B), for taxable years beginning after 1994, a tax is imposed on the South Carolina taxable income of individuals, estates, and trusts and any other entity except those taxed or exempted from taxation under Sections 12</w:t>
      </w:r>
      <w:r w:rsidRPr="00C3123F">
        <w:rPr>
          <w:rFonts w:cs="Times New Roman"/>
          <w:u w:color="000000"/>
        </w:rPr>
        <w:noBreakHyphen/>
        <w:t>6</w:t>
      </w:r>
      <w:r w:rsidRPr="00C3123F">
        <w:rPr>
          <w:rFonts w:cs="Times New Roman"/>
          <w:u w:color="000000"/>
        </w:rPr>
        <w:noBreakHyphen/>
        <w:t>530 through 12</w:t>
      </w:r>
      <w:r w:rsidRPr="00C3123F">
        <w:rPr>
          <w:rFonts w:cs="Times New Roman"/>
          <w:u w:color="000000"/>
        </w:rPr>
        <w:noBreakHyphen/>
        <w:t>6</w:t>
      </w:r>
      <w:r w:rsidRPr="00C3123F">
        <w:rPr>
          <w:rFonts w:cs="Times New Roman"/>
          <w:u w:color="000000"/>
        </w:rPr>
        <w:noBreakHyphen/>
        <w:t>550 computed at the following rates with the income brackets indexed in accordance with Section 12</w:t>
      </w:r>
      <w:r w:rsidRPr="00C3123F">
        <w:rPr>
          <w:rFonts w:cs="Times New Roman"/>
          <w:u w:color="000000"/>
        </w:rPr>
        <w:noBreakHyphen/>
        <w:t>6</w:t>
      </w:r>
      <w:r w:rsidRPr="00C3123F">
        <w:rPr>
          <w:rFonts w:cs="Times New Roman"/>
          <w:u w:color="000000"/>
        </w:rPr>
        <w:noBreakHyphen/>
        <w:t>520: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tab/>
        <w:t>Not over $2,220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2.5 percent of taxable income</w:t>
      </w:r>
      <w:r>
        <w:rPr>
          <w:rFonts w:cs="Times New Roman"/>
          <w:szCs w:val="24"/>
          <w:u w:color="000000"/>
        </w:rPr>
        <w:t>;</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tab/>
        <w:t>Over $2,220 but not over $4,440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 xml:space="preserve">$56 plus 3 percent of the </w:t>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sidRPr="00C3123F">
        <w:rPr>
          <w:rFonts w:cs="Times New Roman"/>
          <w:szCs w:val="24"/>
          <w:u w:color="000000"/>
        </w:rPr>
        <w:t>excess over $2,220;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tab/>
        <w:t>Over $4,440 but not over $6,660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 xml:space="preserve">$123 plus 4 percent of the </w:t>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sidRPr="00C3123F">
        <w:rPr>
          <w:rFonts w:cs="Times New Roman"/>
          <w:szCs w:val="24"/>
          <w:u w:color="000000"/>
        </w:rPr>
        <w:t>excess over $4,440;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tab/>
        <w:t>Over $6,660 but not over $8,880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 xml:space="preserve">$212 plus 5 percent of the </w:t>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sidRPr="00C3123F">
        <w:rPr>
          <w:rFonts w:cs="Times New Roman"/>
          <w:szCs w:val="24"/>
          <w:u w:color="000000"/>
        </w:rPr>
        <w:t>excess of $6,660;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lastRenderedPageBreak/>
        <w:tab/>
        <w:t>Over $8,880 but not over $11,100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 xml:space="preserve">$323 plus 6 percent of the </w:t>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sidRPr="00C3123F">
        <w:rPr>
          <w:rFonts w:cs="Times New Roman"/>
          <w:szCs w:val="24"/>
          <w:u w:color="000000"/>
        </w:rPr>
        <w:t>excess over $8,880;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4"/>
          <w:u w:color="000000"/>
        </w:rPr>
        <w:tab/>
        <w:t>Over $11,100</w:t>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r>
      <w:r w:rsidRPr="00C3123F">
        <w:rPr>
          <w:rFonts w:cs="Times New Roman"/>
          <w:szCs w:val="24"/>
          <w:u w:color="000000"/>
        </w:rPr>
        <w:tab/>
        <w:t xml:space="preserve">$456 plus 7 percent of the </w:t>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Pr>
          <w:rFonts w:cs="Times New Roman"/>
          <w:szCs w:val="24"/>
          <w:u w:color="000000"/>
        </w:rPr>
        <w:tab/>
      </w:r>
      <w:r w:rsidRPr="00C3123F">
        <w:rPr>
          <w:rFonts w:cs="Times New Roman"/>
          <w:szCs w:val="24"/>
          <w:u w:color="000000"/>
        </w:rPr>
        <w:t>excess over $11,100.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t>(B)(1)</w:t>
      </w:r>
      <w:r w:rsidRPr="00C3123F">
        <w:rPr>
          <w:rFonts w:cs="Times New Roman"/>
          <w:u w:color="000000"/>
        </w:rPr>
        <w:tab/>
        <w:t>Notwithstanding subsection (A), for taxable years beginning after 2021, a tax is imposed on the South Carolina taxable income of individuals, estates, and trusts and any other entity except those taxed or exempted from taxation under Sections 12</w:t>
      </w:r>
      <w:r w:rsidRPr="00C3123F">
        <w:rPr>
          <w:rFonts w:cs="Times New Roman"/>
          <w:u w:color="000000"/>
        </w:rPr>
        <w:noBreakHyphen/>
        <w:t>6</w:t>
      </w:r>
      <w:r w:rsidRPr="00C3123F">
        <w:rPr>
          <w:rFonts w:cs="Times New Roman"/>
          <w:u w:color="000000"/>
        </w:rPr>
        <w:noBreakHyphen/>
        <w:t>530 through 12</w:t>
      </w:r>
      <w:r w:rsidRPr="00C3123F">
        <w:rPr>
          <w:rFonts w:cs="Times New Roman"/>
          <w:u w:color="000000"/>
        </w:rPr>
        <w:noBreakHyphen/>
        <w:t>6</w:t>
      </w:r>
      <w:r w:rsidRPr="00C3123F">
        <w:rPr>
          <w:rFonts w:cs="Times New Roman"/>
          <w:u w:color="000000"/>
        </w:rPr>
        <w:noBreakHyphen/>
        <w:t>550 computed at the following rates with the income brackets indexed in accordance with Section 12</w:t>
      </w:r>
      <w:r w:rsidRPr="00C3123F">
        <w:rPr>
          <w:rFonts w:cs="Times New Roman"/>
          <w:u w:color="000000"/>
        </w:rPr>
        <w:noBreakHyphen/>
        <w:t>6</w:t>
      </w:r>
      <w:r w:rsidRPr="00C3123F">
        <w:rPr>
          <w:rFonts w:cs="Times New Roman"/>
          <w:u w:color="000000"/>
        </w:rPr>
        <w:noBreakHyphen/>
        <w:t>520: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rPr>
      </w:pPr>
      <w:r w:rsidRPr="00C3123F">
        <w:rPr>
          <w:rFonts w:cs="Times New Roman"/>
          <w:szCs w:val="24"/>
          <w:u w:color="000000"/>
        </w:rPr>
        <w:tab/>
      </w:r>
      <w:r w:rsidRPr="00C3123F">
        <w:rPr>
          <w:rFonts w:cs="Times New Roman"/>
          <w:szCs w:val="28"/>
          <w:u w:color="000000"/>
        </w:rPr>
        <w:t>At Least</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But less than</w:t>
      </w:r>
      <w:r w:rsidRPr="00C3123F">
        <w:rPr>
          <w:rFonts w:cs="Times New Roman"/>
          <w:szCs w:val="28"/>
          <w:u w:color="000000"/>
        </w:rPr>
        <w:tab/>
      </w:r>
      <w:r w:rsidRPr="00C3123F">
        <w:rPr>
          <w:rFonts w:cs="Times New Roman"/>
          <w:szCs w:val="28"/>
          <w:u w:color="000000"/>
        </w:rPr>
        <w:tab/>
        <w:t>Compute the tax as follows</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rPr>
      </w:pPr>
      <w:r w:rsidRPr="00C3123F">
        <w:rPr>
          <w:rFonts w:cs="Times New Roman"/>
          <w:szCs w:val="28"/>
          <w:u w:color="000000"/>
        </w:rPr>
        <w:tab/>
        <w:t>$0</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$3,200</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0% times the amount</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rPr>
      </w:pPr>
      <w:r w:rsidRPr="00C3123F">
        <w:rPr>
          <w:rFonts w:cs="Times New Roman"/>
          <w:szCs w:val="28"/>
          <w:u w:color="000000"/>
        </w:rPr>
        <w:tab/>
        <w:t>$3,200</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$16,040</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3% times the amount minus $96</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C3123F">
        <w:rPr>
          <w:rFonts w:cs="Times New Roman"/>
          <w:szCs w:val="28"/>
          <w:u w:color="000000"/>
        </w:rPr>
        <w:tab/>
        <w:t>$16,040</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or more</w:t>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r>
      <w:r w:rsidRPr="00C3123F">
        <w:rPr>
          <w:rFonts w:cs="Times New Roman"/>
          <w:szCs w:val="28"/>
          <w:u w:color="000000"/>
        </w:rPr>
        <w:tab/>
        <w:t>6% times the amount minus $577</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23F">
        <w:rPr>
          <w:rFonts w:cs="Times New Roman"/>
          <w:u w:color="000000"/>
        </w:rPr>
        <w:tab/>
      </w:r>
      <w:r w:rsidRPr="00C3123F">
        <w:rPr>
          <w:rFonts w:cs="Times New Roman"/>
          <w:u w:color="000000"/>
        </w:rPr>
        <w:tab/>
        <w:t>(2)</w:t>
      </w:r>
      <w:r w:rsidRPr="00C3123F">
        <w:rPr>
          <w:rFonts w:cs="Times New Roman"/>
          <w:u w:color="000000"/>
        </w:rPr>
        <w:tab/>
        <w:t>Notwithstanding the provisions of item (1), the reduction in the top marginal rate contained in this item, as compared to the same in subsection (A), must be phased</w:t>
      </w:r>
      <w:r w:rsidRPr="00C3123F">
        <w:rPr>
          <w:rFonts w:cs="Times New Roman"/>
          <w:u w:color="000000"/>
        </w:rPr>
        <w:noBreakHyphen/>
        <w:t>in as provided in item (3).  Until the top marginal rate is fully phased</w:t>
      </w:r>
      <w:r w:rsidRPr="00C3123F">
        <w:rPr>
          <w:rFonts w:cs="Times New Roman"/>
          <w:u w:color="000000"/>
        </w:rPr>
        <w:noBreakHyphen/>
        <w:t>in, the bracket to which this reduced top marginal rate applies must be the same as the bracket for the top marginal rate provided in subsection (A).  All reductions are permanent and c</w:t>
      </w:r>
      <w:r w:rsidRPr="00C3123F">
        <w:rPr>
          <w:rFonts w:cs="Times New Roman"/>
        </w:rPr>
        <w:t>umulative.  During the phase</w:t>
      </w:r>
      <w:r w:rsidRPr="00C3123F">
        <w:rPr>
          <w:rFonts w:cs="Times New Roman"/>
        </w:rPr>
        <w:noBreakHyphen/>
        <w:t>in and after, the department shall continue to adjust the brackets as provided in Section 12</w:t>
      </w:r>
      <w:r w:rsidRPr="00C3123F">
        <w:rPr>
          <w:rFonts w:cs="Times New Roman"/>
        </w:rPr>
        <w:noBreakHyphen/>
        <w:t>6</w:t>
      </w:r>
      <w:r w:rsidRPr="00C3123F">
        <w:rPr>
          <w:rFonts w:cs="Times New Roman"/>
        </w:rPr>
        <w:noBreakHyphen/>
        <w:t>520.  Other than the top marginal rate, no other component of this item is phased</w:t>
      </w:r>
      <w:r w:rsidRPr="00C3123F">
        <w:rPr>
          <w:rFonts w:cs="Times New Roman"/>
        </w:rPr>
        <w:noBreakHyphen/>
        <w:t>in.</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r>
      <w:r w:rsidRPr="00C3123F">
        <w:rPr>
          <w:rFonts w:cs="Times New Roman"/>
          <w:u w:color="000000"/>
        </w:rPr>
        <w:tab/>
        <w:t>(3)</w:t>
      </w:r>
      <w:r w:rsidRPr="00C3123F">
        <w:rPr>
          <w:rFonts w:cs="Times New Roman"/>
          <w:u w:color="000000"/>
        </w:rPr>
        <w:tab/>
        <w:t>For Tax Year 2022, the top marginal rate shall equal 6.5%.  Beginning with Tax Year 2023, and each year thereafter until the top marginal rate equals 6%, the top marginal rate must decrease by one</w:t>
      </w:r>
      <w:r w:rsidRPr="00C3123F">
        <w:rPr>
          <w:rFonts w:cs="Times New Roman"/>
          <w:u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C3123F">
        <w:rPr>
          <w:rFonts w:cs="Times New Roman"/>
          <w:u w:color="000000"/>
        </w:rPr>
        <w:noBreakHyphen/>
        <w:t>9</w:t>
      </w:r>
      <w:r w:rsidRPr="00C3123F">
        <w:rPr>
          <w:rFonts w:cs="Times New Roman"/>
          <w:u w:color="000000"/>
        </w:rPr>
        <w:noBreakHyphen/>
        <w:t xml:space="preserve">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w:t>
      </w:r>
      <w:r w:rsidRPr="00C3123F">
        <w:rPr>
          <w:rFonts w:cs="Times New Roman"/>
          <w:u w:color="000000"/>
        </w:rPr>
        <w:lastRenderedPageBreak/>
        <w:t>of this section, ‘recurring general fund revenue’ and ‘recurring general fund expenditure base’ have the same meaning as provided in Section 6</w:t>
      </w:r>
      <w:r w:rsidRPr="00C3123F">
        <w:rPr>
          <w:rFonts w:cs="Times New Roman"/>
          <w:u w:color="000000"/>
        </w:rPr>
        <w:noBreakHyphen/>
        <w:t>27</w:t>
      </w:r>
      <w:r w:rsidRPr="00C3123F">
        <w:rPr>
          <w:rFonts w:cs="Times New Roman"/>
          <w:u w:color="000000"/>
        </w:rPr>
        <w:noBreakHyphen/>
        <w:t>30.</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t>(C)</w:t>
      </w:r>
      <w:r w:rsidRPr="00C3123F">
        <w:rPr>
          <w:rFonts w:cs="Times New Roman"/>
          <w:u w:color="000000"/>
        </w:rPr>
        <w:tab/>
        <w:t>The department may prescribe tax tables consistent with the rates set pursuant to this section.”</w:t>
      </w:r>
      <w:r w:rsidRPr="00C3123F">
        <w:rPr>
          <w:rFonts w:cs="Times New Roman"/>
          <w:u w:color="000000"/>
        </w:rPr>
        <w:tab/>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SECTION</w:t>
      </w:r>
      <w:r w:rsidRPr="00C3123F">
        <w:rPr>
          <w:rFonts w:cs="Times New Roman"/>
          <w:u w:color="000000"/>
        </w:rPr>
        <w:tab/>
        <w:t>3.</w:t>
      </w:r>
      <w:r w:rsidRPr="00C3123F">
        <w:rPr>
          <w:rFonts w:cs="Times New Roman"/>
          <w:u w:color="000000"/>
        </w:rPr>
        <w:tab/>
        <w:t xml:space="preserve">A. </w:t>
      </w:r>
      <w:r w:rsidRPr="00C3123F">
        <w:rPr>
          <w:rFonts w:cs="Times New Roman"/>
          <w:u w:color="000000"/>
        </w:rPr>
        <w:tab/>
        <w:t>Section 12</w:t>
      </w:r>
      <w:r w:rsidRPr="00C3123F">
        <w:rPr>
          <w:rFonts w:cs="Times New Roman"/>
          <w:u w:color="000000"/>
        </w:rPr>
        <w:noBreakHyphen/>
        <w:t>6</w:t>
      </w:r>
      <w:r w:rsidRPr="00C3123F">
        <w:rPr>
          <w:rFonts w:cs="Times New Roman"/>
          <w:u w:color="000000"/>
        </w:rPr>
        <w:noBreakHyphen/>
        <w:t>1171(A) of the 1976 Code is amended to read:</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rPr>
        <w:tab/>
        <w:t>“</w:t>
      </w:r>
      <w:r w:rsidRPr="00C3123F">
        <w:rPr>
          <w:rFonts w:cs="Times New Roman"/>
          <w:u w:color="000000"/>
        </w:rPr>
        <w:t>(A)</w:t>
      </w:r>
      <w:r w:rsidRPr="00C3123F">
        <w:rPr>
          <w:rFonts w:cs="Times New Roman"/>
          <w:u w:color="000000"/>
        </w:rPr>
        <w:tab/>
        <w:t>An individual taxpayer may deduc</w:t>
      </w:r>
      <w:r>
        <w:rPr>
          <w:rFonts w:cs="Times New Roman"/>
          <w:u w:color="000000"/>
        </w:rPr>
        <w:t>t all military retirement income</w:t>
      </w:r>
      <w:r w:rsidRPr="00C3123F">
        <w:rPr>
          <w:rFonts w:cs="Times New Roman"/>
          <w:u w:color="000000"/>
        </w:rPr>
        <w:t xml:space="preserve"> that is included in South Carolina taxable income.”</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B.</w:t>
      </w:r>
      <w:r w:rsidRPr="00C3123F">
        <w:rPr>
          <w:rFonts w:cs="Times New Roman"/>
          <w:u w:color="000000"/>
        </w:rPr>
        <w:tab/>
      </w:r>
      <w:r w:rsidRPr="00C3123F">
        <w:rPr>
          <w:rFonts w:cs="Times New Roman"/>
          <w:u w:color="000000"/>
        </w:rPr>
        <w:tab/>
        <w:t>This SECTION takes effect upon approval by the Governor and first applies to tax years beginning after 2021.</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SECTION</w:t>
      </w:r>
      <w:r w:rsidRPr="00C3123F">
        <w:rPr>
          <w:rFonts w:cs="Times New Roman"/>
          <w:u w:color="000000"/>
        </w:rPr>
        <w:tab/>
        <w:t>4.</w:t>
      </w:r>
      <w:r w:rsidRPr="00C3123F">
        <w:rPr>
          <w:rFonts w:cs="Times New Roman"/>
          <w:u w:color="000000"/>
        </w:rPr>
        <w:tab/>
        <w:t>A.</w:t>
      </w:r>
      <w:r w:rsidRPr="00C3123F">
        <w:rPr>
          <w:rFonts w:cs="Times New Roman"/>
          <w:u w:color="000000"/>
        </w:rPr>
        <w:tab/>
        <w:t xml:space="preserve"> Section 12</w:t>
      </w:r>
      <w:r w:rsidRPr="00C3123F">
        <w:rPr>
          <w:rFonts w:cs="Times New Roman"/>
          <w:u w:color="000000"/>
        </w:rPr>
        <w:noBreakHyphen/>
        <w:t>6</w:t>
      </w:r>
      <w:r w:rsidRPr="00C3123F">
        <w:rPr>
          <w:rFonts w:cs="Times New Roman"/>
          <w:u w:color="000000"/>
        </w:rPr>
        <w:noBreakHyphen/>
        <w:t>515 of the 1976 Code is repealed.</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B.</w:t>
      </w:r>
      <w:r w:rsidRPr="00C3123F">
        <w:rPr>
          <w:rFonts w:cs="Times New Roman"/>
          <w:u w:color="000000"/>
        </w:rPr>
        <w:tab/>
      </w:r>
      <w:r w:rsidRPr="00C3123F">
        <w:rPr>
          <w:rFonts w:cs="Times New Roman"/>
          <w:u w:color="000000"/>
        </w:rPr>
        <w:tab/>
        <w:t>This SECTION takes effect on January first of the first tax year in which the provisions of Section 12</w:t>
      </w:r>
      <w:r w:rsidRPr="00C3123F">
        <w:rPr>
          <w:rFonts w:cs="Times New Roman"/>
          <w:u w:color="000000"/>
        </w:rPr>
        <w:noBreakHyphen/>
        <w:t>6</w:t>
      </w:r>
      <w:r w:rsidRPr="00C3123F">
        <w:rPr>
          <w:rFonts w:cs="Times New Roman"/>
          <w:u w:color="000000"/>
        </w:rPr>
        <w:noBreakHyphen/>
        <w:t>510(B) are fully phased</w:t>
      </w:r>
      <w:r w:rsidRPr="00C3123F">
        <w:rPr>
          <w:rFonts w:cs="Times New Roman"/>
          <w:u w:color="000000"/>
        </w:rPr>
        <w:noBreakHyphen/>
        <w:t>in and the top marginal rate equals six percent.</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SECTION</w:t>
      </w:r>
      <w:r w:rsidRPr="00C3123F">
        <w:rPr>
          <w:rFonts w:cs="Times New Roman"/>
          <w:u w:color="000000"/>
        </w:rPr>
        <w:tab/>
        <w:t>5.</w:t>
      </w:r>
      <w:r w:rsidRPr="00C3123F">
        <w:rPr>
          <w:rFonts w:cs="Times New Roman"/>
          <w:u w:color="000000"/>
        </w:rPr>
        <w:tab/>
        <w:t>A.</w:t>
      </w:r>
      <w:r w:rsidRPr="00C3123F">
        <w:rPr>
          <w:rFonts w:cs="Times New Roman"/>
          <w:u w:color="000000"/>
        </w:rPr>
        <w:tab/>
        <w:t xml:space="preserve"> Section 12</w:t>
      </w:r>
      <w:r w:rsidRPr="00C3123F">
        <w:rPr>
          <w:rFonts w:cs="Times New Roman"/>
          <w:u w:color="000000"/>
        </w:rPr>
        <w:noBreakHyphen/>
        <w:t>37</w:t>
      </w:r>
      <w:r w:rsidRPr="00C3123F">
        <w:rPr>
          <w:rFonts w:cs="Times New Roman"/>
          <w:u w:color="000000"/>
        </w:rPr>
        <w:noBreakHyphen/>
        <w:t>220(52) of the 1976 Code, as last amended by Act 39 of 2021, is further amended to read:</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t>“(52)(a)(i)</w:t>
      </w:r>
      <w:r w:rsidRPr="00C3123F">
        <w:rPr>
          <w:rFonts w:cs="Times New Roman"/>
          <w:u w:color="000000"/>
        </w:rPr>
        <w:tab/>
      </w:r>
      <w:r w:rsidRPr="00C3123F">
        <w:rPr>
          <w:rFonts w:cs="Times New Roman"/>
        </w:rPr>
        <w:t>42.8571</w:t>
      </w:r>
      <w:r w:rsidRPr="00C3123F">
        <w:rPr>
          <w:rFonts w:cs="Times New Roman"/>
          <w:u w:color="000000"/>
        </w:rPr>
        <w:t xml:space="preserve"> percent of the property tax value of manufacturing property assessed for property tax purposes pursuant to Section 12</w:t>
      </w:r>
      <w:r w:rsidRPr="00C3123F">
        <w:rPr>
          <w:rFonts w:cs="Times New Roman"/>
          <w:u w:color="000000"/>
        </w:rPr>
        <w:noBreakHyphen/>
        <w:t>43</w:t>
      </w:r>
      <w:r w:rsidRPr="00C3123F">
        <w:rPr>
          <w:rFonts w:cs="Times New Roman"/>
          <w:u w:color="000000"/>
        </w:rPr>
        <w:noBreakHyphen/>
        <w:t>220(a)(1). The exemption allowed by this item does not apply to property owned or leased by a public utility, as defined in Section 58</w:t>
      </w:r>
      <w:r w:rsidRPr="00C3123F">
        <w:rPr>
          <w:rFonts w:cs="Times New Roman"/>
          <w:u w:color="000000"/>
        </w:rPr>
        <w:noBreakHyphen/>
        <w:t>3</w:t>
      </w:r>
      <w:r w:rsidRPr="00C3123F">
        <w:rPr>
          <w:rFonts w:cs="Times New Roman"/>
          <w:u w:color="000000"/>
        </w:rP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r>
      <w:r w:rsidRPr="00C3123F">
        <w:rPr>
          <w:rFonts w:cs="Times New Roman"/>
          <w:u w:color="000000"/>
        </w:rPr>
        <w:tab/>
      </w:r>
      <w:r w:rsidRPr="00C3123F">
        <w:rPr>
          <w:rFonts w:cs="Times New Roman"/>
          <w:u w:color="000000"/>
        </w:rPr>
        <w:tab/>
      </w:r>
      <w:r w:rsidRPr="00C3123F">
        <w:rPr>
          <w:rFonts w:cs="Times New Roman"/>
          <w:u w:color="000000"/>
        </w:rPr>
        <w:tab/>
        <w:t>(ii)</w:t>
      </w:r>
      <w:r w:rsidRPr="00C3123F">
        <w:rPr>
          <w:rFonts w:cs="Times New Roman"/>
          <w:u w:color="000000"/>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r>
      <w:r w:rsidRPr="00C3123F">
        <w:rPr>
          <w:rFonts w:cs="Times New Roman"/>
          <w:u w:color="000000"/>
        </w:rPr>
        <w:tab/>
      </w:r>
      <w:r w:rsidRPr="00C3123F">
        <w:rPr>
          <w:rFonts w:cs="Times New Roman"/>
          <w:u w:color="000000"/>
        </w:rPr>
        <w:tab/>
        <w:t>(b)</w:t>
      </w:r>
      <w:r w:rsidRPr="00C3123F">
        <w:rPr>
          <w:rFonts w:cs="Times New Roman"/>
          <w:u w:color="000000"/>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C3123F">
        <w:rPr>
          <w:rFonts w:cs="Times New Roman"/>
        </w:rPr>
        <w:t>one hundred seventy</w:t>
      </w:r>
      <w:r w:rsidRPr="00C3123F">
        <w:rPr>
          <w:rFonts w:cs="Times New Roman"/>
          <w:u w:color="000000"/>
        </w:rPr>
        <w:t xml:space="preserve"> million dollars </w:t>
      </w:r>
      <w:r w:rsidRPr="00C3123F">
        <w:rPr>
          <w:rFonts w:cs="Times New Roman"/>
          <w:u w:color="000000"/>
        </w:rPr>
        <w:lastRenderedPageBreak/>
        <w:t>per year. In calculating estimated state individual and corporate income tax revenues for a fiscal year, the Board of Economic Advisors shall deduct amounts sufficient to account for the reimbursement required by this item.</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r>
      <w:r w:rsidRPr="00C3123F">
        <w:rPr>
          <w:rFonts w:cs="Times New Roman"/>
          <w:u w:color="000000"/>
        </w:rPr>
        <w:tab/>
      </w:r>
      <w:r w:rsidRPr="00C3123F">
        <w:rPr>
          <w:rFonts w:cs="Times New Roman"/>
          <w:u w:color="000000"/>
        </w:rPr>
        <w:tab/>
        <w:t>(c)</w:t>
      </w:r>
      <w:r w:rsidRPr="00C3123F">
        <w:rPr>
          <w:rFonts w:cs="Times New Roman"/>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ab/>
      </w:r>
      <w:r w:rsidRPr="00C3123F">
        <w:rPr>
          <w:rFonts w:cs="Times New Roman"/>
          <w:u w:color="000000"/>
        </w:rPr>
        <w:tab/>
      </w:r>
      <w:r w:rsidRPr="00C3123F">
        <w:rPr>
          <w:rFonts w:cs="Times New Roman"/>
          <w:u w:color="000000"/>
        </w:rPr>
        <w:tab/>
        <w:t>(d)</w:t>
      </w:r>
      <w:r w:rsidRPr="00C3123F">
        <w:rPr>
          <w:rFonts w:cs="Times New Roman"/>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B.</w:t>
      </w:r>
      <w:r w:rsidRPr="00C3123F">
        <w:rPr>
          <w:rFonts w:cs="Times New Roman"/>
          <w:u w:color="000000"/>
        </w:rPr>
        <w:tab/>
      </w:r>
      <w:r>
        <w:rPr>
          <w:rFonts w:cs="Times New Roman"/>
          <w:u w:color="000000"/>
        </w:rPr>
        <w:tab/>
      </w:r>
      <w:r w:rsidRPr="00C3123F">
        <w:rPr>
          <w:rFonts w:eastAsia="Calibri" w:cs="Times New Roman"/>
          <w:color w:val="000000"/>
          <w:u w:color="000000"/>
        </w:rPr>
        <w:t>Section 19.</w:t>
      </w:r>
      <w:r>
        <w:rPr>
          <w:rFonts w:eastAsia="Calibri" w:cs="Times New Roman"/>
          <w:color w:val="000000"/>
          <w:u w:color="000000"/>
        </w:rPr>
        <w:tab/>
      </w:r>
      <w:r w:rsidRPr="00C3123F">
        <w:rPr>
          <w:rFonts w:eastAsia="Calibri" w:cs="Times New Roman"/>
          <w:color w:val="000000"/>
          <w:u w:color="000000"/>
        </w:rPr>
        <w:t>B. of Act 40 of 2017 relating to a phase</w:t>
      </w:r>
      <w:r w:rsidRPr="00C3123F">
        <w:rPr>
          <w:rFonts w:eastAsia="Calibri" w:cs="Times New Roman"/>
          <w:color w:val="000000"/>
          <w:u w:color="000000"/>
        </w:rPr>
        <w:noBreakHyphen/>
        <w:t>in of the manufacturing property tax exemption, is repealed.</w:t>
      </w: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C.</w:t>
      </w:r>
      <w:r w:rsidRPr="00C3123F">
        <w:rPr>
          <w:rFonts w:cs="Times New Roman"/>
          <w:u w:color="000000"/>
        </w:rPr>
        <w:tab/>
      </w:r>
      <w:r w:rsidRPr="00C3123F">
        <w:rPr>
          <w:rFonts w:cs="Times New Roman"/>
          <w:u w:color="000000"/>
        </w:rPr>
        <w:tab/>
        <w:t>This SECTION takes effect upon approval by the Governor and applies to property tax years after 2021.</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3123F">
        <w:rPr>
          <w:rFonts w:cs="Times New Roman"/>
          <w:u w:color="000000"/>
        </w:rPr>
        <w:t>SECTION</w:t>
      </w:r>
      <w:r w:rsidRPr="00C3123F">
        <w:rPr>
          <w:rFonts w:cs="Times New Roman"/>
          <w:u w:color="000000"/>
        </w:rPr>
        <w:tab/>
        <w:t>6.</w:t>
      </w:r>
      <w:r w:rsidRPr="00C3123F">
        <w:rPr>
          <w:rFonts w:cs="Times New Roman"/>
          <w:u w:color="000000"/>
        </w:rPr>
        <w:tab/>
        <w:t>(A)</w:t>
      </w:r>
      <w:r w:rsidRPr="00C3123F">
        <w:rPr>
          <w:rFonts w:cs="Times New Roman"/>
          <w:u w:color="000000"/>
        </w:rPr>
        <w:tab/>
      </w:r>
      <w:r w:rsidRPr="00C3123F">
        <w:rPr>
          <w:rFonts w:cs="Times New Roman"/>
          <w:color w:val="000000"/>
          <w:u w:color="000000"/>
        </w:rPr>
        <w:t>From the Contingency Reserve Fund, there is appropriated one billion dollars to the Taxpayer Rebate Fund which is created in the State Treasury.  The fund is separate and distinct from the general fund and all other funds of the State.</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3123F">
        <w:rPr>
          <w:rFonts w:cs="Times New Roman"/>
          <w:color w:val="000000"/>
          <w:u w:color="000000"/>
        </w:rPr>
        <w:tab/>
        <w:t>(B)</w:t>
      </w:r>
      <w:r w:rsidRPr="00C3123F">
        <w:rPr>
          <w:rFonts w:cs="Times New Roman"/>
          <w:color w:val="000000"/>
          <w:u w:color="000000"/>
        </w:rPr>
        <w:tab/>
        <w:t>The fund must be used by the Department of Revenue to provide a one</w:t>
      </w:r>
      <w:r w:rsidRPr="00C3123F">
        <w:rPr>
          <w:rFonts w:cs="Times New Roman"/>
          <w:color w:val="000000"/>
          <w:u w:color="000000"/>
        </w:rPr>
        <w:noBreakHyphen/>
        <w:t>time rebate for individual income taxpayers that filed a return for tax year 2021.  Each return filed for 2021 shall receive a rebate equal to the amount of tax liability on the return, except that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3123F">
        <w:rPr>
          <w:rFonts w:cs="Times New Roman"/>
          <w:color w:val="000000"/>
          <w:u w:color="000000"/>
        </w:rPr>
        <w:tab/>
        <w:t>(C)</w:t>
      </w:r>
      <w:r w:rsidRPr="00C3123F">
        <w:rPr>
          <w:rFonts w:cs="Times New Roman"/>
          <w:color w:val="000000"/>
          <w:u w:color="000000"/>
        </w:rPr>
        <w:tab/>
        <w:t>The department may retain up to one percent of the fund, but not to exceed their actual costs, to administer the rebate.</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color w:val="000000"/>
          <w:u w:color="000000"/>
        </w:rPr>
        <w:tab/>
        <w:t>(D)</w:t>
      </w:r>
      <w:r w:rsidRPr="00C3123F">
        <w:rPr>
          <w:rFonts w:cs="Times New Roman"/>
          <w:color w:val="000000"/>
          <w:u w:color="000000"/>
        </w:rPr>
        <w:tab/>
        <w:t>Any funds remaining in the fund after every rebate has been accounted for shall lapse to the Contingency Reserve Fund, at which time the fund is dissolved.</w:t>
      </w:r>
    </w:p>
    <w:p w:rsidR="00DA6A3F" w:rsidRPr="00C312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3123F">
        <w:rPr>
          <w:rFonts w:cs="Times New Roman"/>
          <w:u w:color="000000"/>
        </w:rPr>
        <w:t>SECTION</w:t>
      </w:r>
      <w:r w:rsidRPr="00C3123F">
        <w:rPr>
          <w:rFonts w:cs="Times New Roman"/>
          <w:u w:color="000000"/>
        </w:rPr>
        <w:tab/>
        <w:t>7.</w:t>
      </w:r>
      <w:r w:rsidRPr="00C3123F">
        <w:rPr>
          <w:rFonts w:cs="Times New Roman"/>
          <w:u w:color="000000"/>
        </w:rPr>
        <w:tab/>
        <w:t>This act takes effect upon approval by the Governor.</w:t>
      </w: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A6A3F" w:rsidRDefault="00DA6A3F"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DA6A3F" w:rsidRDefault="00DA6A3F" w:rsidP="00DA6A3F">
      <w:pPr>
        <w:jc w:val="both"/>
        <w:rPr>
          <w:color w:val="000000" w:themeColor="text1"/>
        </w:rPr>
      </w:pPr>
    </w:p>
    <w:p w:rsidR="00DA6A3F" w:rsidRDefault="00DA6A3F" w:rsidP="00DA6A3F">
      <w:pPr>
        <w:jc w:val="both"/>
        <w:rPr>
          <w:color w:val="000000" w:themeColor="text1"/>
        </w:rPr>
      </w:pPr>
      <w:r>
        <w:rPr>
          <w:color w:val="000000" w:themeColor="text1"/>
        </w:rPr>
        <w:t>Approved the 17</w:t>
      </w:r>
      <w:r w:rsidRPr="007157F4">
        <w:rPr>
          <w:color w:val="000000" w:themeColor="text1"/>
          <w:vertAlign w:val="superscript"/>
        </w:rPr>
        <w:t>th</w:t>
      </w:r>
      <w:r>
        <w:rPr>
          <w:color w:val="000000" w:themeColor="text1"/>
        </w:rPr>
        <w:t xml:space="preserve"> day of June, 2022. </w:t>
      </w:r>
    </w:p>
    <w:p w:rsidR="00DA6A3F" w:rsidRDefault="00DA6A3F" w:rsidP="00DA6A3F">
      <w:pPr>
        <w:jc w:val="center"/>
        <w:rPr>
          <w:color w:val="000000" w:themeColor="text1"/>
        </w:rPr>
      </w:pPr>
    </w:p>
    <w:p w:rsidR="00DA6A3F" w:rsidRDefault="00DA6A3F" w:rsidP="00DA6A3F">
      <w:pPr>
        <w:jc w:val="center"/>
        <w:rPr>
          <w:color w:val="000000" w:themeColor="text1"/>
        </w:rPr>
      </w:pPr>
      <w:r>
        <w:rPr>
          <w:color w:val="000000" w:themeColor="text1"/>
        </w:rPr>
        <w:t>__________</w:t>
      </w:r>
    </w:p>
    <w:p w:rsidR="00372042" w:rsidRPr="002466FC" w:rsidRDefault="00372042" w:rsidP="00D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72042" w:rsidRPr="002466FC" w:rsidSect="00372042">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C0B" w:rsidRDefault="00EB4C0B" w:rsidP="007D5FAC">
      <w:r>
        <w:separator/>
      </w:r>
    </w:p>
  </w:endnote>
  <w:endnote w:type="continuationSeparator" w:id="0">
    <w:p w:rsidR="00EB4C0B" w:rsidRDefault="00EB4C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042" w:rsidRPr="00372042" w:rsidRDefault="00372042" w:rsidP="0037204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A6495">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042" w:rsidRDefault="00372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C0B" w:rsidRDefault="00EB4C0B" w:rsidP="007D5FAC">
      <w:r>
        <w:separator/>
      </w:r>
    </w:p>
  </w:footnote>
  <w:footnote w:type="continuationSeparator" w:id="0">
    <w:p w:rsidR="00EB4C0B" w:rsidRDefault="00EB4C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Good"/>
    <w:docVar w:name="ActBillNo" w:val="1087"/>
    <w:docVar w:name="ActSecretary" w:val="Downey"/>
    <w:docVar w:name="ActSIdno" w:val="(235)  1087DG22"/>
    <w:docVar w:name="clipname" w:val="1087DG22"/>
    <w:docVar w:name="dvBillNumber" w:val="1087"/>
    <w:docVar w:name="dvBillNumberPrefix" w:val="S"/>
    <w:docVar w:name="dvOriginalBody" w:val="Senate"/>
    <w:docVar w:name="OrigSENATEBillNo" w:val="1087"/>
    <w:docVar w:name="SENATEACTFULLPATH" w:val="L:\COUNCIL\ACTS\1087DG22.DOCX"/>
    <w:docVar w:name="WhatActtype" w:val="AN ACT"/>
  </w:docVars>
  <w:rsids>
    <w:rsidRoot w:val="00EB4C0B"/>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078"/>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66FC"/>
    <w:rsid w:val="00254411"/>
    <w:rsid w:val="00257ACD"/>
    <w:rsid w:val="002710C8"/>
    <w:rsid w:val="00273EA7"/>
    <w:rsid w:val="00274843"/>
    <w:rsid w:val="00275CBF"/>
    <w:rsid w:val="00276491"/>
    <w:rsid w:val="00276CCF"/>
    <w:rsid w:val="00276E6F"/>
    <w:rsid w:val="00277C27"/>
    <w:rsid w:val="00280582"/>
    <w:rsid w:val="00280946"/>
    <w:rsid w:val="0028169E"/>
    <w:rsid w:val="002851AC"/>
    <w:rsid w:val="0028649D"/>
    <w:rsid w:val="00290B61"/>
    <w:rsid w:val="00291330"/>
    <w:rsid w:val="00291CD5"/>
    <w:rsid w:val="00291CF3"/>
    <w:rsid w:val="00293450"/>
    <w:rsid w:val="00294396"/>
    <w:rsid w:val="00294E0D"/>
    <w:rsid w:val="00296B4D"/>
    <w:rsid w:val="002A6880"/>
    <w:rsid w:val="002A7F6D"/>
    <w:rsid w:val="002B787D"/>
    <w:rsid w:val="002C0E95"/>
    <w:rsid w:val="002C3DB3"/>
    <w:rsid w:val="002C4C93"/>
    <w:rsid w:val="002C7D37"/>
    <w:rsid w:val="002D3267"/>
    <w:rsid w:val="002D5B0F"/>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042"/>
    <w:rsid w:val="00372564"/>
    <w:rsid w:val="00372FF8"/>
    <w:rsid w:val="003762ED"/>
    <w:rsid w:val="0038005A"/>
    <w:rsid w:val="003803CD"/>
    <w:rsid w:val="00380F86"/>
    <w:rsid w:val="00392293"/>
    <w:rsid w:val="00395E70"/>
    <w:rsid w:val="0039655A"/>
    <w:rsid w:val="00396C58"/>
    <w:rsid w:val="003A6D96"/>
    <w:rsid w:val="003A7517"/>
    <w:rsid w:val="003B1A01"/>
    <w:rsid w:val="003B2E6E"/>
    <w:rsid w:val="003B355D"/>
    <w:rsid w:val="003B6BB7"/>
    <w:rsid w:val="003B746E"/>
    <w:rsid w:val="003C030C"/>
    <w:rsid w:val="003D2A73"/>
    <w:rsid w:val="003F1AF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5A93"/>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24DE"/>
    <w:rsid w:val="004F33E0"/>
    <w:rsid w:val="004F4494"/>
    <w:rsid w:val="004F4608"/>
    <w:rsid w:val="004F5867"/>
    <w:rsid w:val="004F6446"/>
    <w:rsid w:val="0050178B"/>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67939"/>
    <w:rsid w:val="005741F9"/>
    <w:rsid w:val="005839FC"/>
    <w:rsid w:val="00583CB3"/>
    <w:rsid w:val="005859EE"/>
    <w:rsid w:val="00590D1D"/>
    <w:rsid w:val="00591D7C"/>
    <w:rsid w:val="00594D39"/>
    <w:rsid w:val="005A094E"/>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37CB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C7A2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162AD"/>
    <w:rsid w:val="00B1759D"/>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1C56"/>
    <w:rsid w:val="00D56467"/>
    <w:rsid w:val="00D63C04"/>
    <w:rsid w:val="00D76225"/>
    <w:rsid w:val="00D7706E"/>
    <w:rsid w:val="00D80303"/>
    <w:rsid w:val="00D8576C"/>
    <w:rsid w:val="00D9130B"/>
    <w:rsid w:val="00D92268"/>
    <w:rsid w:val="00D94602"/>
    <w:rsid w:val="00D958BB"/>
    <w:rsid w:val="00D9786B"/>
    <w:rsid w:val="00DA1730"/>
    <w:rsid w:val="00DA6A3F"/>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59AD"/>
    <w:rsid w:val="00EA03FD"/>
    <w:rsid w:val="00EA2A3A"/>
    <w:rsid w:val="00EA77B0"/>
    <w:rsid w:val="00EB223A"/>
    <w:rsid w:val="00EB2ABC"/>
    <w:rsid w:val="00EB4C0B"/>
    <w:rsid w:val="00EC47CE"/>
    <w:rsid w:val="00EC6AE8"/>
    <w:rsid w:val="00ED4871"/>
    <w:rsid w:val="00EE366B"/>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4662"/>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ABB96CE-1007-4300-BEC0-4E1B382B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72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F2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DE"/>
    <w:rPr>
      <w:rFonts w:ascii="Segoe UI" w:hAnsi="Segoe UI" w:cs="Segoe UI"/>
      <w:sz w:val="18"/>
      <w:szCs w:val="18"/>
    </w:rPr>
  </w:style>
  <w:style w:type="table" w:styleId="TableGrid">
    <w:name w:val="Table Grid"/>
    <w:basedOn w:val="TableNormal"/>
    <w:uiPriority w:val="59"/>
    <w:rsid w:val="00B175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7204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62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8.docx" TargetMode="External"/><Relationship Id="rId13" Type="http://schemas.openxmlformats.org/officeDocument/2006/relationships/hyperlink" Target="file:///h:\sj\20220315.docx" TargetMode="External"/><Relationship Id="rId18" Type="http://schemas.openxmlformats.org/officeDocument/2006/relationships/hyperlink" Target="file:///h:\hj\20220510.docx" TargetMode="External"/><Relationship Id="rId26" Type="http://schemas.openxmlformats.org/officeDocument/2006/relationships/hyperlink" Target="file:///h:\hj\20220615.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220510.docx" TargetMode="External"/><Relationship Id="rId34" Type="http://schemas.openxmlformats.org/officeDocument/2006/relationships/hyperlink" Target="file:///p:\pprever\2021-22\1087_20220310.docx" TargetMode="External"/><Relationship Id="rId42" Type="http://schemas.openxmlformats.org/officeDocument/2006/relationships/theme" Target="theme/theme1.xml"/><Relationship Id="rId7" Type="http://schemas.openxmlformats.org/officeDocument/2006/relationships/hyperlink" Target="file:///h:\sj\20220217.docx" TargetMode="External"/><Relationship Id="rId12" Type="http://schemas.openxmlformats.org/officeDocument/2006/relationships/hyperlink" Target="file:///h:\sj\20220315.docx" TargetMode="External"/><Relationship Id="rId17" Type="http://schemas.openxmlformats.org/officeDocument/2006/relationships/hyperlink" Target="file:///h:\hj\20220510.docx" TargetMode="External"/><Relationship Id="rId25" Type="http://schemas.openxmlformats.org/officeDocument/2006/relationships/hyperlink" Target="file:///h:\sj\20220512.docx" TargetMode="External"/><Relationship Id="rId33" Type="http://schemas.openxmlformats.org/officeDocument/2006/relationships/hyperlink" Target="file:///p:\pprever\2021-22\1087_20220308.docx" TargetMode="External"/><Relationship Id="rId38" Type="http://schemas.openxmlformats.org/officeDocument/2006/relationships/hyperlink" Target="file:///p:\pprever\2021-22\1087_20220615.docx" TargetMode="External"/><Relationship Id="rId2" Type="http://schemas.openxmlformats.org/officeDocument/2006/relationships/settings" Target="settings.xml"/><Relationship Id="rId16" Type="http://schemas.openxmlformats.org/officeDocument/2006/relationships/hyperlink" Target="file:///h:\hj\20220505.docx" TargetMode="External"/><Relationship Id="rId20" Type="http://schemas.openxmlformats.org/officeDocument/2006/relationships/hyperlink" Target="file:///h:\hj\20220510.docx" TargetMode="External"/><Relationship Id="rId29" Type="http://schemas.openxmlformats.org/officeDocument/2006/relationships/hyperlink" Target="file:///h:\sj\20220615.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20217.docx" TargetMode="External"/><Relationship Id="rId11" Type="http://schemas.openxmlformats.org/officeDocument/2006/relationships/hyperlink" Target="file:///h:\sj\20220310.docx" TargetMode="External"/><Relationship Id="rId24" Type="http://schemas.openxmlformats.org/officeDocument/2006/relationships/hyperlink" Target="file:///h:\hj\20220511.docx" TargetMode="External"/><Relationship Id="rId32" Type="http://schemas.openxmlformats.org/officeDocument/2006/relationships/hyperlink" Target="file:///p:\pprever\2021-22\1087_20220217.docx" TargetMode="External"/><Relationship Id="rId37" Type="http://schemas.openxmlformats.org/officeDocument/2006/relationships/hyperlink" Target="file:///p:\pprever\2021-22\1087_20220510.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20329.docx" TargetMode="External"/><Relationship Id="rId23" Type="http://schemas.openxmlformats.org/officeDocument/2006/relationships/hyperlink" Target="file:///h:\sj\20220511.docx" TargetMode="External"/><Relationship Id="rId28" Type="http://schemas.openxmlformats.org/officeDocument/2006/relationships/hyperlink" Target="file:///h:\sj\20220615.docx" TargetMode="External"/><Relationship Id="rId36" Type="http://schemas.openxmlformats.org/officeDocument/2006/relationships/hyperlink" Target="file:///p:\pprever\2021-22\1087_20220506.docx" TargetMode="External"/><Relationship Id="rId10" Type="http://schemas.openxmlformats.org/officeDocument/2006/relationships/hyperlink" Target="file:///h:\sj\20220310.docx" TargetMode="External"/><Relationship Id="rId19" Type="http://schemas.openxmlformats.org/officeDocument/2006/relationships/hyperlink" Target="file:///h:\hj\20220510.docx" TargetMode="External"/><Relationship Id="rId31" Type="http://schemas.openxmlformats.org/officeDocument/2006/relationships/hyperlink" Target="http://www.scstatehouse.gov/billsearch.php?billnumbers=1087&amp;session=124&amp;summary=B" TargetMode="External"/><Relationship Id="rId4" Type="http://schemas.openxmlformats.org/officeDocument/2006/relationships/footnotes" Target="footnotes.xml"/><Relationship Id="rId9" Type="http://schemas.openxmlformats.org/officeDocument/2006/relationships/hyperlink" Target="file:///h:\sj\20220310.docx" TargetMode="External"/><Relationship Id="rId14" Type="http://schemas.openxmlformats.org/officeDocument/2006/relationships/hyperlink" Target="file:///h:\hj\20220329.docx" TargetMode="External"/><Relationship Id="rId22" Type="http://schemas.openxmlformats.org/officeDocument/2006/relationships/hyperlink" Target="file:///h:\hj\20220511.docx" TargetMode="External"/><Relationship Id="rId27" Type="http://schemas.openxmlformats.org/officeDocument/2006/relationships/hyperlink" Target="file:///h:\hj\20220615.docx" TargetMode="External"/><Relationship Id="rId30" Type="http://schemas.openxmlformats.org/officeDocument/2006/relationships/hyperlink" Target="file:///h:\sj\20220615.docx" TargetMode="External"/><Relationship Id="rId35" Type="http://schemas.openxmlformats.org/officeDocument/2006/relationships/hyperlink" Target="file:///p:\pprever\2021-22\1087_202205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1087: Comprehensive tax cut act of 2022 - South Carolina Legislature Online</dc:title>
  <dc:subject/>
  <dc:creator>Niki Downey</dc:creator>
  <cp:keywords/>
  <dc:description/>
  <cp:lastModifiedBy>Danny Crook</cp:lastModifiedBy>
  <cp:revision>2</cp:revision>
  <cp:lastPrinted>2022-06-15T18:47:00Z</cp:lastPrinted>
  <dcterms:created xsi:type="dcterms:W3CDTF">2022-07-19T15:08:00Z</dcterms:created>
  <dcterms:modified xsi:type="dcterms:W3CDTF">2022-07-19T15:08:00Z</dcterms:modified>
</cp:coreProperties>
</file>