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0457B"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7C39">
        <w:rPr>
          <w:rFonts w:cs="Times New Roman"/>
          <w:b/>
        </w:rPr>
        <w:t>South Carolina General Assembly</w:t>
      </w:r>
    </w:p>
    <w:p w14:paraId="61E6237F"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B7C39">
        <w:rPr>
          <w:rFonts w:cs="Times New Roman"/>
        </w:rPr>
        <w:t>124th Session, 2021-2022</w:t>
      </w:r>
    </w:p>
    <w:p w14:paraId="54ECB898"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187289EB" w14:textId="7346F803" w:rsidR="00FB7C39" w:rsidRPr="00FB7C39" w:rsidRDefault="009E7104"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A181, R186, S1117</w:t>
      </w:r>
    </w:p>
    <w:p w14:paraId="7D21C905"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14:paraId="1429BE0E"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7C39">
        <w:rPr>
          <w:rFonts w:cs="Times New Roman"/>
          <w:b/>
        </w:rPr>
        <w:t>STATUS INFORMATION</w:t>
      </w:r>
    </w:p>
    <w:p w14:paraId="206CCEAB"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94136B7"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7C39">
        <w:rPr>
          <w:rFonts w:cs="Times New Roman"/>
        </w:rPr>
        <w:t>General Bill</w:t>
      </w:r>
    </w:p>
    <w:p w14:paraId="25DCADA0"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7C39">
        <w:rPr>
          <w:rFonts w:cs="Times New Roman"/>
        </w:rPr>
        <w:t>Sponsors: Senator Climer</w:t>
      </w:r>
    </w:p>
    <w:p w14:paraId="1DFD8DDF"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7C39">
        <w:rPr>
          <w:rFonts w:cs="Times New Roman"/>
        </w:rPr>
        <w:t>Document Path: l:\s-res\wc\028grai.kmm.wc.docx</w:t>
      </w:r>
    </w:p>
    <w:p w14:paraId="23386713"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3A8E184" w14:textId="77777777" w:rsidR="00CC40D7" w:rsidRDefault="00CC40D7"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 2022</w:t>
      </w:r>
    </w:p>
    <w:p w14:paraId="37292B61" w14:textId="77777777" w:rsidR="00CC40D7" w:rsidRDefault="00CC40D7"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29, 2022</w:t>
      </w:r>
    </w:p>
    <w:p w14:paraId="4ED1EA60" w14:textId="77777777" w:rsidR="00CC40D7" w:rsidRDefault="00CC40D7"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3, 2022</w:t>
      </w:r>
    </w:p>
    <w:p w14:paraId="7051521E" w14:textId="77777777" w:rsidR="00CC40D7" w:rsidRDefault="00CC40D7"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5, 2022</w:t>
      </w:r>
    </w:p>
    <w:p w14:paraId="6E4D9759" w14:textId="77777777" w:rsidR="00CC40D7" w:rsidRDefault="00CC40D7"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2022, Signed</w:t>
      </w:r>
    </w:p>
    <w:p w14:paraId="6750785C" w14:textId="77777777" w:rsidR="00CC40D7" w:rsidRDefault="00CC40D7"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4364394" w14:textId="31B42732"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7C39">
        <w:rPr>
          <w:rFonts w:cs="Times New Roman"/>
        </w:rPr>
        <w:t>Summary: SC Grain Producers Guaranty Fund</w:t>
      </w:r>
    </w:p>
    <w:p w14:paraId="60CB6DAA"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773AF7FC"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C486799" w14:textId="77777777" w:rsidR="00FB7C39" w:rsidRPr="00FB7C39" w:rsidRDefault="00FB7C39" w:rsidP="00FB7C39">
      <w:pPr>
        <w:widowControl w:val="0"/>
        <w:tabs>
          <w:tab w:val="center" w:pos="590"/>
          <w:tab w:val="center" w:pos="1440"/>
          <w:tab w:val="left" w:pos="1872"/>
          <w:tab w:val="left" w:pos="9187"/>
        </w:tabs>
        <w:rPr>
          <w:rFonts w:cs="Times New Roman"/>
        </w:rPr>
      </w:pPr>
      <w:r w:rsidRPr="00FB7C39">
        <w:rPr>
          <w:rFonts w:cs="Times New Roman"/>
          <w:b/>
        </w:rPr>
        <w:t>HISTORY OF LEGISLATIVE ACTIONS</w:t>
      </w:r>
    </w:p>
    <w:p w14:paraId="70BB2588" w14:textId="77777777" w:rsidR="00FB7C39" w:rsidRPr="00FB7C39" w:rsidRDefault="00FB7C39" w:rsidP="00FB7C39">
      <w:pPr>
        <w:widowControl w:val="0"/>
        <w:tabs>
          <w:tab w:val="center" w:pos="590"/>
          <w:tab w:val="center" w:pos="1440"/>
          <w:tab w:val="left" w:pos="1872"/>
          <w:tab w:val="left" w:pos="9187"/>
        </w:tabs>
        <w:rPr>
          <w:rFonts w:cs="Times New Roman"/>
        </w:rPr>
      </w:pPr>
    </w:p>
    <w:p w14:paraId="569BC126" w14:textId="77777777" w:rsidR="00FB7C39" w:rsidRPr="00FB7C39" w:rsidRDefault="00FB7C39" w:rsidP="00FB7C39">
      <w:pPr>
        <w:widowControl w:val="0"/>
        <w:tabs>
          <w:tab w:val="center" w:pos="590"/>
          <w:tab w:val="center" w:pos="1440"/>
          <w:tab w:val="left" w:pos="1872"/>
          <w:tab w:val="left" w:pos="9187"/>
        </w:tabs>
        <w:rPr>
          <w:rFonts w:cs="Times New Roman"/>
        </w:rPr>
      </w:pPr>
      <w:r w:rsidRPr="00FB7C39">
        <w:rPr>
          <w:rFonts w:cs="Times New Roman"/>
          <w:u w:val="single"/>
        </w:rPr>
        <w:tab/>
        <w:t>Date</w:t>
      </w:r>
      <w:r w:rsidRPr="00FB7C39">
        <w:rPr>
          <w:rFonts w:cs="Times New Roman"/>
          <w:u w:val="single"/>
        </w:rPr>
        <w:tab/>
        <w:t>Body</w:t>
      </w:r>
      <w:r w:rsidRPr="00FB7C39">
        <w:rPr>
          <w:rFonts w:cs="Times New Roman"/>
          <w:u w:val="single"/>
        </w:rPr>
        <w:tab/>
        <w:t>Action Description with journal page number</w:t>
      </w:r>
      <w:r w:rsidRPr="00FB7C39">
        <w:rPr>
          <w:rFonts w:cs="Times New Roman"/>
          <w:u w:val="single"/>
        </w:rPr>
        <w:tab/>
      </w:r>
    </w:p>
    <w:p w14:paraId="3A3C56E2"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Introduced and read first time (</w:t>
      </w:r>
      <w:hyperlink r:id="rId6" w:history="1">
        <w:r w:rsidRPr="00A55D05">
          <w:rPr>
            <w:rStyle w:val="Hyperlink"/>
            <w:rFonts w:cs="Times New Roman"/>
          </w:rPr>
          <w:t>Senate Journal</w:t>
        </w:r>
        <w:r w:rsidRPr="00A55D05">
          <w:rPr>
            <w:rStyle w:val="Hyperlink"/>
            <w:rFonts w:cs="Times New Roman"/>
          </w:rPr>
          <w:noBreakHyphen/>
          <w:t>page 5</w:t>
        </w:r>
      </w:hyperlink>
      <w:r>
        <w:rPr>
          <w:rFonts w:cs="Times New Roman"/>
        </w:rPr>
        <w:t>)</w:t>
      </w:r>
    </w:p>
    <w:p w14:paraId="37DDF93D"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 xml:space="preserve">Referred to Committee on </w:t>
      </w:r>
      <w:r w:rsidRPr="00A55D05">
        <w:rPr>
          <w:rFonts w:cs="Times New Roman"/>
          <w:b/>
        </w:rPr>
        <w:t>Agriculture and Natural Resources</w:t>
      </w:r>
      <w:r>
        <w:rPr>
          <w:rFonts w:cs="Times New Roman"/>
        </w:rPr>
        <w:t xml:space="preserve"> (</w:t>
      </w:r>
      <w:hyperlink r:id="rId7" w:history="1">
        <w:r w:rsidRPr="00A55D05">
          <w:rPr>
            <w:rStyle w:val="Hyperlink"/>
            <w:rFonts w:cs="Times New Roman"/>
          </w:rPr>
          <w:t>Senate Journal</w:t>
        </w:r>
        <w:r w:rsidRPr="00A55D05">
          <w:rPr>
            <w:rStyle w:val="Hyperlink"/>
            <w:rFonts w:cs="Times New Roman"/>
          </w:rPr>
          <w:noBreakHyphen/>
          <w:t>page 5</w:t>
        </w:r>
      </w:hyperlink>
      <w:bookmarkStart w:id="0" w:name="_GoBack"/>
      <w:bookmarkEnd w:id="0"/>
      <w:r>
        <w:rPr>
          <w:rFonts w:cs="Times New Roman"/>
        </w:rPr>
        <w:t>)</w:t>
      </w:r>
    </w:p>
    <w:p w14:paraId="59AF6A88"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 xml:space="preserve">Committee report: Favorable </w:t>
      </w:r>
      <w:r w:rsidRPr="00A55D05">
        <w:rPr>
          <w:rFonts w:cs="Times New Roman"/>
          <w:b/>
        </w:rPr>
        <w:t>Agriculture and Natural Resources</w:t>
      </w:r>
      <w:r>
        <w:rPr>
          <w:rFonts w:cs="Times New Roman"/>
        </w:rPr>
        <w:t xml:space="preserve"> (</w:t>
      </w:r>
      <w:hyperlink r:id="rId8" w:history="1">
        <w:r w:rsidRPr="00A55D05">
          <w:rPr>
            <w:rStyle w:val="Hyperlink"/>
            <w:rFonts w:cs="Times New Roman"/>
          </w:rPr>
          <w:t>Senate Journal</w:t>
        </w:r>
        <w:r w:rsidRPr="00A55D05">
          <w:rPr>
            <w:rStyle w:val="Hyperlink"/>
            <w:rFonts w:cs="Times New Roman"/>
          </w:rPr>
          <w:noBreakHyphen/>
          <w:t>page 16</w:t>
        </w:r>
      </w:hyperlink>
      <w:r>
        <w:rPr>
          <w:rFonts w:cs="Times New Roman"/>
        </w:rPr>
        <w:t>)</w:t>
      </w:r>
    </w:p>
    <w:p w14:paraId="3996C749"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r>
      <w:r>
        <w:rPr>
          <w:rFonts w:cs="Times New Roman"/>
        </w:rPr>
        <w:tab/>
        <w:t>Scrivener's error corrected</w:t>
      </w:r>
    </w:p>
    <w:p w14:paraId="68681A3A"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Read second time (</w:t>
      </w:r>
      <w:hyperlink r:id="rId9" w:history="1">
        <w:r w:rsidRPr="00A55D05">
          <w:rPr>
            <w:rStyle w:val="Hyperlink"/>
            <w:rFonts w:cs="Times New Roman"/>
          </w:rPr>
          <w:t>Senate Journal</w:t>
        </w:r>
        <w:r w:rsidRPr="00A55D05">
          <w:rPr>
            <w:rStyle w:val="Hyperlink"/>
            <w:rFonts w:cs="Times New Roman"/>
          </w:rPr>
          <w:noBreakHyphen/>
          <w:t>page 29</w:t>
        </w:r>
      </w:hyperlink>
      <w:r>
        <w:rPr>
          <w:rFonts w:cs="Times New Roman"/>
        </w:rPr>
        <w:t>)</w:t>
      </w:r>
    </w:p>
    <w:p w14:paraId="7CC313AF"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0" w:history="1">
        <w:r w:rsidRPr="00A55D05">
          <w:rPr>
            <w:rStyle w:val="Hyperlink"/>
            <w:rFonts w:cs="Times New Roman"/>
          </w:rPr>
          <w:t>Senate Journal</w:t>
        </w:r>
        <w:r w:rsidRPr="00A55D05">
          <w:rPr>
            <w:rStyle w:val="Hyperlink"/>
            <w:rFonts w:cs="Times New Roman"/>
          </w:rPr>
          <w:noBreakHyphen/>
          <w:t>page 29</w:t>
        </w:r>
      </w:hyperlink>
      <w:r>
        <w:rPr>
          <w:rFonts w:cs="Times New Roman"/>
        </w:rPr>
        <w:t>)</w:t>
      </w:r>
    </w:p>
    <w:p w14:paraId="62D72100"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3/22/2022</w:t>
      </w:r>
      <w:r>
        <w:rPr>
          <w:rFonts w:cs="Times New Roman"/>
        </w:rPr>
        <w:tab/>
        <w:t>Senate</w:t>
      </w:r>
      <w:r>
        <w:rPr>
          <w:rFonts w:cs="Times New Roman"/>
        </w:rPr>
        <w:tab/>
        <w:t>Read third time and sent to House (</w:t>
      </w:r>
      <w:hyperlink r:id="rId11" w:history="1">
        <w:r w:rsidRPr="00A55D05">
          <w:rPr>
            <w:rStyle w:val="Hyperlink"/>
            <w:rFonts w:cs="Times New Roman"/>
          </w:rPr>
          <w:t>Senate Journal</w:t>
        </w:r>
        <w:r w:rsidRPr="00A55D05">
          <w:rPr>
            <w:rStyle w:val="Hyperlink"/>
            <w:rFonts w:cs="Times New Roman"/>
          </w:rPr>
          <w:noBreakHyphen/>
          <w:t>page 7</w:t>
        </w:r>
      </w:hyperlink>
      <w:r>
        <w:rPr>
          <w:rFonts w:cs="Times New Roman"/>
        </w:rPr>
        <w:t>)</w:t>
      </w:r>
    </w:p>
    <w:p w14:paraId="7219E3B9"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12" w:history="1">
        <w:r w:rsidRPr="00A55D05">
          <w:rPr>
            <w:rStyle w:val="Hyperlink"/>
            <w:rFonts w:cs="Times New Roman"/>
          </w:rPr>
          <w:t>House Journal</w:t>
        </w:r>
        <w:r w:rsidRPr="00A55D05">
          <w:rPr>
            <w:rStyle w:val="Hyperlink"/>
            <w:rFonts w:cs="Times New Roman"/>
          </w:rPr>
          <w:noBreakHyphen/>
          <w:t>page 40</w:t>
        </w:r>
      </w:hyperlink>
      <w:r>
        <w:rPr>
          <w:rFonts w:cs="Times New Roman"/>
        </w:rPr>
        <w:t>)</w:t>
      </w:r>
    </w:p>
    <w:p w14:paraId="66423188"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Committee on </w:t>
      </w:r>
      <w:r w:rsidRPr="00A55D05">
        <w:rPr>
          <w:rFonts w:cs="Times New Roman"/>
          <w:b/>
        </w:rPr>
        <w:t>Agriculture, Natural Resources and Environmental Affairs</w:t>
      </w:r>
      <w:r>
        <w:rPr>
          <w:rFonts w:cs="Times New Roman"/>
        </w:rPr>
        <w:t xml:space="preserve"> (</w:t>
      </w:r>
      <w:hyperlink r:id="rId13" w:history="1">
        <w:r w:rsidRPr="00A55D05">
          <w:rPr>
            <w:rStyle w:val="Hyperlink"/>
            <w:rFonts w:cs="Times New Roman"/>
          </w:rPr>
          <w:t>House Journal</w:t>
        </w:r>
        <w:r w:rsidRPr="00A55D05">
          <w:rPr>
            <w:rStyle w:val="Hyperlink"/>
            <w:rFonts w:cs="Times New Roman"/>
          </w:rPr>
          <w:noBreakHyphen/>
          <w:t>page 40</w:t>
        </w:r>
      </w:hyperlink>
      <w:r>
        <w:rPr>
          <w:rFonts w:cs="Times New Roman"/>
        </w:rPr>
        <w:t>)</w:t>
      </w:r>
    </w:p>
    <w:p w14:paraId="14731C08"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 xml:space="preserve">Committee report: Favorable with amendment </w:t>
      </w:r>
      <w:r w:rsidRPr="00A55D05">
        <w:rPr>
          <w:rFonts w:cs="Times New Roman"/>
          <w:b/>
        </w:rPr>
        <w:t>Agriculture, Natural Resources and Environmental Affairs</w:t>
      </w:r>
      <w:r>
        <w:rPr>
          <w:rFonts w:cs="Times New Roman"/>
        </w:rPr>
        <w:t xml:space="preserve"> (</w:t>
      </w:r>
      <w:hyperlink r:id="rId14" w:history="1">
        <w:r w:rsidRPr="00A55D05">
          <w:rPr>
            <w:rStyle w:val="Hyperlink"/>
            <w:rFonts w:cs="Times New Roman"/>
          </w:rPr>
          <w:t>House Journal</w:t>
        </w:r>
        <w:r w:rsidRPr="00A55D05">
          <w:rPr>
            <w:rStyle w:val="Hyperlink"/>
            <w:rFonts w:cs="Times New Roman"/>
          </w:rPr>
          <w:noBreakHyphen/>
          <w:t>page 6</w:t>
        </w:r>
      </w:hyperlink>
      <w:r>
        <w:rPr>
          <w:rFonts w:cs="Times New Roman"/>
        </w:rPr>
        <w:t>)</w:t>
      </w:r>
    </w:p>
    <w:p w14:paraId="1F07086B"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r>
      <w:r>
        <w:rPr>
          <w:rFonts w:cs="Times New Roman"/>
        </w:rPr>
        <w:tab/>
        <w:t>Scrivener's error corrected</w:t>
      </w:r>
    </w:p>
    <w:p w14:paraId="6BDABC79"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Amended (</w:t>
      </w:r>
      <w:hyperlink r:id="rId15" w:history="1">
        <w:r w:rsidRPr="00A55D05">
          <w:rPr>
            <w:rStyle w:val="Hyperlink"/>
            <w:rFonts w:cs="Times New Roman"/>
          </w:rPr>
          <w:t>House Journal</w:t>
        </w:r>
        <w:r w:rsidRPr="00A55D05">
          <w:rPr>
            <w:rStyle w:val="Hyperlink"/>
            <w:rFonts w:cs="Times New Roman"/>
          </w:rPr>
          <w:noBreakHyphen/>
          <w:t>page 52</w:t>
        </w:r>
      </w:hyperlink>
      <w:r>
        <w:rPr>
          <w:rFonts w:cs="Times New Roman"/>
        </w:rPr>
        <w:t>)</w:t>
      </w:r>
    </w:p>
    <w:p w14:paraId="417D525C"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Read second time (</w:t>
      </w:r>
      <w:hyperlink r:id="rId16" w:history="1">
        <w:r w:rsidRPr="00A55D05">
          <w:rPr>
            <w:rStyle w:val="Hyperlink"/>
            <w:rFonts w:cs="Times New Roman"/>
          </w:rPr>
          <w:t>House Journal</w:t>
        </w:r>
        <w:r w:rsidRPr="00A55D05">
          <w:rPr>
            <w:rStyle w:val="Hyperlink"/>
            <w:rFonts w:cs="Times New Roman"/>
          </w:rPr>
          <w:noBreakHyphen/>
          <w:t>page 52</w:t>
        </w:r>
      </w:hyperlink>
      <w:r>
        <w:rPr>
          <w:rFonts w:cs="Times New Roman"/>
        </w:rPr>
        <w:t>)</w:t>
      </w:r>
    </w:p>
    <w:p w14:paraId="7FCD7C8B"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Roll call Yeas</w:t>
      </w:r>
      <w:r>
        <w:rPr>
          <w:rFonts w:cs="Times New Roman"/>
        </w:rPr>
        <w:noBreakHyphen/>
        <w:t>103  Nays</w:t>
      </w:r>
      <w:r>
        <w:rPr>
          <w:rFonts w:cs="Times New Roman"/>
        </w:rPr>
        <w:noBreakHyphen/>
        <w:t>1 (</w:t>
      </w:r>
      <w:hyperlink r:id="rId17" w:history="1">
        <w:r w:rsidRPr="00A55D05">
          <w:rPr>
            <w:rStyle w:val="Hyperlink"/>
            <w:rFonts w:cs="Times New Roman"/>
          </w:rPr>
          <w:t>House Journal</w:t>
        </w:r>
        <w:r w:rsidRPr="00A55D05">
          <w:rPr>
            <w:rStyle w:val="Hyperlink"/>
            <w:rFonts w:cs="Times New Roman"/>
          </w:rPr>
          <w:noBreakHyphen/>
          <w:t>page 61</w:t>
        </w:r>
      </w:hyperlink>
      <w:r>
        <w:rPr>
          <w:rFonts w:cs="Times New Roman"/>
        </w:rPr>
        <w:t>)</w:t>
      </w:r>
    </w:p>
    <w:p w14:paraId="092FDAA2"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third time and returned to Senate with amendments (</w:t>
      </w:r>
      <w:hyperlink r:id="rId18" w:history="1">
        <w:r w:rsidRPr="00A55D05">
          <w:rPr>
            <w:rStyle w:val="Hyperlink"/>
            <w:rFonts w:cs="Times New Roman"/>
          </w:rPr>
          <w:t>House Journal</w:t>
        </w:r>
        <w:r w:rsidRPr="00A55D05">
          <w:rPr>
            <w:rStyle w:val="Hyperlink"/>
            <w:rFonts w:cs="Times New Roman"/>
          </w:rPr>
          <w:noBreakHyphen/>
          <w:t>page 22</w:t>
        </w:r>
      </w:hyperlink>
      <w:r>
        <w:rPr>
          <w:rFonts w:cs="Times New Roman"/>
        </w:rPr>
        <w:t>)</w:t>
      </w:r>
    </w:p>
    <w:p w14:paraId="0BE32F54"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r>
      <w:r>
        <w:rPr>
          <w:rFonts w:cs="Times New Roman"/>
        </w:rPr>
        <w:tab/>
        <w:t>Scrivener's error corrected</w:t>
      </w:r>
    </w:p>
    <w:p w14:paraId="259B5F04"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Concurred in House amendment and enrolled (</w:t>
      </w:r>
      <w:hyperlink r:id="rId19" w:history="1">
        <w:r w:rsidRPr="00A55D05">
          <w:rPr>
            <w:rStyle w:val="Hyperlink"/>
            <w:rFonts w:cs="Times New Roman"/>
          </w:rPr>
          <w:t>Senate Journal</w:t>
        </w:r>
        <w:r w:rsidRPr="00A55D05">
          <w:rPr>
            <w:rStyle w:val="Hyperlink"/>
            <w:rFonts w:cs="Times New Roman"/>
          </w:rPr>
          <w:noBreakHyphen/>
          <w:t>page 38</w:t>
        </w:r>
      </w:hyperlink>
      <w:r>
        <w:rPr>
          <w:rFonts w:cs="Times New Roman"/>
        </w:rPr>
        <w:t>)</w:t>
      </w:r>
    </w:p>
    <w:p w14:paraId="5498EA74"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Roll call Ayes</w:t>
      </w:r>
      <w:r>
        <w:rPr>
          <w:rFonts w:cs="Times New Roman"/>
        </w:rPr>
        <w:noBreakHyphen/>
        <w:t>38  Nays</w:t>
      </w:r>
      <w:r>
        <w:rPr>
          <w:rFonts w:cs="Times New Roman"/>
        </w:rPr>
        <w:noBreakHyphen/>
        <w:t>0 (</w:t>
      </w:r>
      <w:hyperlink r:id="rId20" w:history="1">
        <w:r w:rsidRPr="00A55D05">
          <w:rPr>
            <w:rStyle w:val="Hyperlink"/>
            <w:rFonts w:cs="Times New Roman"/>
          </w:rPr>
          <w:t>Senate Journal</w:t>
        </w:r>
        <w:r w:rsidRPr="00A55D05">
          <w:rPr>
            <w:rStyle w:val="Hyperlink"/>
            <w:rFonts w:cs="Times New Roman"/>
          </w:rPr>
          <w:noBreakHyphen/>
          <w:t>page 38</w:t>
        </w:r>
      </w:hyperlink>
      <w:r>
        <w:rPr>
          <w:rFonts w:cs="Times New Roman"/>
        </w:rPr>
        <w:t>)</w:t>
      </w:r>
    </w:p>
    <w:p w14:paraId="0967415B"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186 (</w:t>
      </w:r>
      <w:hyperlink r:id="rId21" w:history="1">
        <w:r w:rsidRPr="00A55D05">
          <w:rPr>
            <w:rStyle w:val="Hyperlink"/>
            <w:rFonts w:cs="Times New Roman"/>
          </w:rPr>
          <w:t>Senate Journal</w:t>
        </w:r>
        <w:r w:rsidRPr="00A55D05">
          <w:rPr>
            <w:rStyle w:val="Hyperlink"/>
            <w:rFonts w:cs="Times New Roman"/>
          </w:rPr>
          <w:noBreakHyphen/>
          <w:t>page 212</w:t>
        </w:r>
      </w:hyperlink>
      <w:r>
        <w:rPr>
          <w:rFonts w:cs="Times New Roman"/>
        </w:rPr>
        <w:t>)</w:t>
      </w:r>
    </w:p>
    <w:p w14:paraId="5942F209"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784C2306"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1BE8A2A1" w14:textId="77777777" w:rsidR="009E7104" w:rsidRDefault="009E7104" w:rsidP="009E7104">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181</w:t>
      </w:r>
    </w:p>
    <w:p w14:paraId="46B3C14C" w14:textId="77777777" w:rsidR="009E7104" w:rsidRDefault="009E7104" w:rsidP="009E7104">
      <w:pPr>
        <w:widowControl w:val="0"/>
        <w:tabs>
          <w:tab w:val="right" w:pos="1008"/>
          <w:tab w:val="left" w:pos="1152"/>
          <w:tab w:val="left" w:pos="1872"/>
          <w:tab w:val="left" w:pos="9187"/>
        </w:tabs>
        <w:ind w:left="2088" w:hanging="2088"/>
        <w:rPr>
          <w:rFonts w:cs="Times New Roman"/>
        </w:rPr>
      </w:pPr>
    </w:p>
    <w:p w14:paraId="526BDC41" w14:textId="77777777" w:rsidR="00FB7C39" w:rsidRPr="00FB7C39" w:rsidRDefault="00FB7C39" w:rsidP="00FB7C39">
      <w:pPr>
        <w:widowControl w:val="0"/>
        <w:tabs>
          <w:tab w:val="right" w:pos="1008"/>
          <w:tab w:val="left" w:pos="1152"/>
          <w:tab w:val="left" w:pos="1872"/>
          <w:tab w:val="left" w:pos="9187"/>
        </w:tabs>
        <w:ind w:left="2088" w:hanging="2088"/>
        <w:rPr>
          <w:rFonts w:cs="Times New Roman"/>
        </w:rPr>
      </w:pPr>
      <w:r w:rsidRPr="00FB7C39">
        <w:rPr>
          <w:rFonts w:cs="Times New Roman"/>
        </w:rPr>
        <w:t xml:space="preserve">View the latest </w:t>
      </w:r>
      <w:hyperlink r:id="rId22" w:history="1">
        <w:r w:rsidRPr="00FB7C39">
          <w:rPr>
            <w:rFonts w:cs="Times New Roman"/>
            <w:color w:val="0000FF" w:themeColor="hyperlink"/>
            <w:u w:val="single"/>
          </w:rPr>
          <w:t>legislative information</w:t>
        </w:r>
      </w:hyperlink>
      <w:r w:rsidRPr="00FB7C39">
        <w:rPr>
          <w:rFonts w:cs="Times New Roman"/>
        </w:rPr>
        <w:t xml:space="preserve"> at the website</w:t>
      </w:r>
    </w:p>
    <w:p w14:paraId="0EED973D" w14:textId="77777777" w:rsidR="00FB7C39" w:rsidRPr="00FB7C39" w:rsidRDefault="00FB7C39" w:rsidP="00FB7C39">
      <w:pPr>
        <w:widowControl w:val="0"/>
        <w:tabs>
          <w:tab w:val="right" w:pos="1008"/>
          <w:tab w:val="left" w:pos="1152"/>
          <w:tab w:val="left" w:pos="1872"/>
          <w:tab w:val="left" w:pos="9187"/>
        </w:tabs>
        <w:ind w:left="2088" w:hanging="2088"/>
        <w:rPr>
          <w:rFonts w:cs="Times New Roman"/>
        </w:rPr>
      </w:pPr>
    </w:p>
    <w:p w14:paraId="4BCFA8AC" w14:textId="77777777" w:rsidR="00FB7C39" w:rsidRPr="00FB7C39" w:rsidRDefault="00FB7C39" w:rsidP="00FB7C39">
      <w:pPr>
        <w:widowControl w:val="0"/>
        <w:tabs>
          <w:tab w:val="right" w:pos="1008"/>
          <w:tab w:val="left" w:pos="1152"/>
          <w:tab w:val="left" w:pos="1872"/>
          <w:tab w:val="left" w:pos="9187"/>
        </w:tabs>
        <w:ind w:left="2088" w:hanging="2088"/>
        <w:rPr>
          <w:rFonts w:cs="Times New Roman"/>
        </w:rPr>
      </w:pPr>
    </w:p>
    <w:p w14:paraId="78869A15"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B7C39">
        <w:rPr>
          <w:rFonts w:cs="Times New Roman"/>
          <w:b/>
        </w:rPr>
        <w:t>VERSIONS OF THIS BILL</w:t>
      </w:r>
    </w:p>
    <w:p w14:paraId="5ED22265" w14:textId="77777777" w:rsidR="00FB7C39" w:rsidRPr="00FB7C39" w:rsidRDefault="00FB7C39"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E7E65D1" w14:textId="00F3C544" w:rsidR="00FB7C39" w:rsidRPr="00FB7C39" w:rsidRDefault="00E5622C" w:rsidP="00FB7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FB7C39" w:rsidRPr="00FB7C39">
          <w:rPr>
            <w:rFonts w:cs="Times New Roman"/>
            <w:color w:val="0000FF" w:themeColor="hyperlink"/>
            <w:u w:val="single"/>
          </w:rPr>
          <w:t>3/2/2022</w:t>
        </w:r>
      </w:hyperlink>
    </w:p>
    <w:p w14:paraId="1214D6B3" w14:textId="22E36359" w:rsidR="00FB7C39" w:rsidRPr="00FB7C39" w:rsidRDefault="00E5622C" w:rsidP="00FB7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FB7C39" w:rsidRPr="00FB7C39">
          <w:rPr>
            <w:rFonts w:cs="Times New Roman"/>
            <w:color w:val="0000FF" w:themeColor="hyperlink"/>
            <w:u w:val="single"/>
          </w:rPr>
          <w:t>3/15/2022</w:t>
        </w:r>
      </w:hyperlink>
    </w:p>
    <w:p w14:paraId="447D475A" w14:textId="0867162B" w:rsidR="00FB7C39" w:rsidRPr="00FB7C39" w:rsidRDefault="00E5622C" w:rsidP="00FB7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FB7C39" w:rsidRPr="00FB7C39">
          <w:rPr>
            <w:rFonts w:cs="Times New Roman"/>
            <w:color w:val="0000FF" w:themeColor="hyperlink"/>
            <w:u w:val="single"/>
          </w:rPr>
          <w:t>3/16/2022</w:t>
        </w:r>
      </w:hyperlink>
    </w:p>
    <w:p w14:paraId="152715A0" w14:textId="75CA1D83" w:rsidR="00FB7C39" w:rsidRPr="00FB7C39" w:rsidRDefault="00E5622C" w:rsidP="00FB7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FB7C39" w:rsidRPr="00FB7C39">
          <w:rPr>
            <w:rFonts w:cs="Times New Roman"/>
            <w:color w:val="0000FF" w:themeColor="hyperlink"/>
            <w:u w:val="single"/>
          </w:rPr>
          <w:t>4/27/2022</w:t>
        </w:r>
      </w:hyperlink>
    </w:p>
    <w:p w14:paraId="17754B02" w14:textId="65DB2163" w:rsidR="00FB7C39" w:rsidRPr="00FB7C39" w:rsidRDefault="00E5622C" w:rsidP="00FB7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FB7C39" w:rsidRPr="00FB7C39">
          <w:rPr>
            <w:rFonts w:cs="Times New Roman"/>
            <w:color w:val="0000FF" w:themeColor="hyperlink"/>
            <w:u w:val="single"/>
          </w:rPr>
          <w:t>4/29/2022</w:t>
        </w:r>
      </w:hyperlink>
    </w:p>
    <w:p w14:paraId="09CB41D4" w14:textId="229CBFB0" w:rsidR="00FB7C39" w:rsidRPr="00FB7C39" w:rsidRDefault="00E5622C" w:rsidP="00FB7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B7C39" w:rsidRPr="00FB7C39">
          <w:rPr>
            <w:rFonts w:cs="Times New Roman"/>
            <w:color w:val="0000FF" w:themeColor="hyperlink"/>
            <w:u w:val="single"/>
          </w:rPr>
          <w:t>4/29/2022-A</w:t>
        </w:r>
      </w:hyperlink>
    </w:p>
    <w:p w14:paraId="55A91B09" w14:textId="72728BEA" w:rsidR="00FB7C39" w:rsidRPr="00FB7C39" w:rsidRDefault="00E5622C" w:rsidP="00FB7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FB7C39" w:rsidRPr="00FB7C39">
          <w:rPr>
            <w:rFonts w:cs="Times New Roman"/>
            <w:color w:val="0000FF" w:themeColor="hyperlink"/>
            <w:u w:val="single"/>
          </w:rPr>
          <w:t>5/3/2022</w:t>
        </w:r>
      </w:hyperlink>
    </w:p>
    <w:p w14:paraId="537F0AE0" w14:textId="2F6E8D11" w:rsidR="00FB7C39" w:rsidRPr="00FB7C39" w:rsidRDefault="00E5622C" w:rsidP="00FB7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FB7C39" w:rsidRPr="00FB7C39">
          <w:rPr>
            <w:rFonts w:cs="Times New Roman"/>
            <w:color w:val="0000FF" w:themeColor="hyperlink"/>
            <w:u w:val="single"/>
          </w:rPr>
          <w:t>5/4/2022</w:t>
        </w:r>
      </w:hyperlink>
    </w:p>
    <w:p w14:paraId="4BD10EB6" w14:textId="77777777" w:rsidR="00FB7C39" w:rsidRPr="00FB7C39" w:rsidRDefault="00FB7C39" w:rsidP="00FB7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F973A46" w14:textId="77777777" w:rsidR="00FB7C39" w:rsidRDefault="00FB7C39" w:rsidP="00FB7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B7C39" w:rsidSect="00FB7C39">
          <w:pgSz w:w="12240" w:h="15840" w:code="1"/>
          <w:pgMar w:top="1080" w:right="1440" w:bottom="1080" w:left="1440" w:header="720" w:footer="720" w:gutter="0"/>
          <w:pgNumType w:start="1"/>
          <w:cols w:space="720"/>
          <w:noEndnote/>
          <w:docGrid w:linePitch="360"/>
        </w:sectPr>
      </w:pPr>
    </w:p>
    <w:p w14:paraId="3C4807FF"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(A181, R186, S1117)</w:t>
      </w:r>
    </w:p>
    <w:p w14:paraId="32679927" w14:textId="77777777" w:rsidR="0014201F" w:rsidRPr="008836A5"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4B6B4D00" w14:textId="77777777" w:rsidR="0014201F" w:rsidRPr="00FB7C39"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B7C39">
        <w:rPr>
          <w:rFonts w:cs="Times New Roman"/>
          <w:b/>
          <w:color w:val="000000" w:themeColor="text1"/>
          <w:szCs w:val="36"/>
        </w:rPr>
        <w:t xml:space="preserve">AN ACT </w:t>
      </w:r>
      <w:r w:rsidRPr="00FB7C39">
        <w:rPr>
          <w:rFonts w:cs="Times New Roman"/>
          <w:b/>
          <w:color w:val="000000" w:themeColor="text1"/>
          <w:u w:color="000000" w:themeColor="text1"/>
        </w:rPr>
        <w:t>TO AMEND ARTICLE 2 OF CHAPTER 41, TITLE 46, CODE OF LAWS OF SOUTH CAROLINA, 1976, RELATING TO THE SOUTH CAROLINA GRAIN PRODUCERS GUARANTY FUND, SO AS TO EXPAND THE FUND TO INCLUDE COTTON PRODUCERS, TO DEFINE THE TERMS “AGRICULTURAL COMMODITY” AND “AGRICULTURAL COMMODITY DEALER”, TO REVISE THE DEFINITION OF THE TERM “FAIR MARKET VALUE” TO INCLUDE VALUE BASED ON THE AVERAGE MARKET PRICE PAID TO PRODUCERS LICENSED BY THREE LICENSED COTTON DEALERS UNDER CERTAIN CIRCUMSTANCES, TO DELETE THE TERM “GRAIN DEALER” AND ITS DEFINITION, TO REVISE THE DEFINITION OF THE TERM “PRODUCER” TO INCLUDE PRODUCERS OF COTTON, TO SUBSTITUTE THE TERM “COMMODITY” FOR THE TERM “GRAIN” IN THE DEFINITION OF THE TERM “DATE OF LOSS”, TO PROVIDE AN ASSESSMENT AMOUNT FOR A BALE OF COTTON, TO REVISE THE PROVISION RELATING TO WHOM DELIVERY MUST BE MADE FOR THE IMPOSITION OF ASSESSMENTS, TO REVISE THE PLACES WHERE THE ASSESSMENTS SHALL BE COLLECTED, TO REVISE WHERE ASSESSMENTS MUST BE REPORTED AND REMITTED TO THE DEPARTMENT OF AGRICULTURE, TO SUBSTITUTE THE TERM “AGRICULTURAL COMMODITY” FOR THE TERM “GRAIN”, TO REVISE THE PERSONS FOR WHOM THE FUND IS ESTABLISHED TO BENEFIT, TO INCREASE THE AMOUNT THE FUND MUST ACCUMULATE IN ORDER TO SUSPEND ASSESSMENTS, TO REVISE THE PROCEDURE TO FILE AND SATISFY CLAIMS FOR LOSSES INCURRED FOR CERTAIN COMMODITIES, TO REVISE THE DATES WHEN ASSESSMENTS MUST BE REMITTED TO AND CERTAIN REPORTS FILED WITH THE DEPARTMENT, TO ESTABLISH THE SOUTH CAROLINA AGRICULTURAL COMMODITIES COMMISSION ADVISORY COMMISSION TO MAKE RECOMMENDATIONS TO THE DEPARTMENT REGARDING THE DUTIES OF THE DEPARTMENT IN ADMINISTERING THE GRAIN AND COTTON PRODUCERS GUARANTY FUND, AND TO PROVIDE FOR ITS MEMBERSHIP, POWERS, AND DUTIES; TO AMEND SECTION 46</w:t>
      </w:r>
      <w:r w:rsidRPr="00FB7C39">
        <w:rPr>
          <w:rFonts w:cs="Times New Roman"/>
          <w:b/>
          <w:color w:val="000000" w:themeColor="text1"/>
          <w:u w:color="000000" w:themeColor="text1"/>
        </w:rPr>
        <w:noBreakHyphen/>
        <w:t>41</w:t>
      </w:r>
      <w:r w:rsidRPr="00FB7C39">
        <w:rPr>
          <w:rFonts w:cs="Times New Roman"/>
          <w:b/>
          <w:color w:val="000000" w:themeColor="text1"/>
          <w:u w:color="000000" w:themeColor="text1"/>
        </w:rPr>
        <w:noBreakHyphen/>
        <w:t xml:space="preserve">60, RELATING TO SURETY BONDS OR EQUIVALENT SECURITY REQUIRED OF APPLICANTS FOR DEALER IN AGRICULTURAL PRODUCTS </w:t>
      </w:r>
      <w:r w:rsidRPr="00FB7C39">
        <w:rPr>
          <w:rFonts w:cs="Times New Roman"/>
          <w:b/>
          <w:color w:val="000000" w:themeColor="text1"/>
          <w:u w:color="000000" w:themeColor="text1"/>
        </w:rPr>
        <w:lastRenderedPageBreak/>
        <w:t>LICENSES, SO AS TO PROVIDE FOR SURETY BONDS OR THEIR EQUIVALENTS BASED ON A TIERED SYSTEM; AND TO AMEND SECTION 46</w:t>
      </w:r>
      <w:r w:rsidRPr="00FB7C39">
        <w:rPr>
          <w:rFonts w:cs="Times New Roman"/>
          <w:b/>
          <w:color w:val="000000" w:themeColor="text1"/>
          <w:u w:color="000000" w:themeColor="text1"/>
        </w:rPr>
        <w:noBreakHyphen/>
        <w:t>41</w:t>
      </w:r>
      <w:r w:rsidRPr="00FB7C39">
        <w:rPr>
          <w:rFonts w:cs="Times New Roman"/>
          <w:b/>
          <w:color w:val="000000" w:themeColor="text1"/>
          <w:u w:color="000000" w:themeColor="text1"/>
        </w:rPr>
        <w:noBreakHyphen/>
        <w:t>170, RELATING TO PENALTIES, SO AS TO MAKE CONFORMING CHANGES, TO PROVIDE THE INSURANCE RESERVE FUND OF THE STATE FISCAL ACCOUNTABILITY AUTHORITY IS AUTHORIZED TO LEND CERTAIN AMOUNTS OF MONEY TO THE DEPARTMENT FOR THE USE OF THE GRAIN AND COTTON PRODUCERS GUARANTY FUND FOR CERTAIN PURPOSES, TO PROVIDE FOR THE REPAYMENT OF THE LOAN, AND TO PROVIDE FOR THE USE OF FUNDS NOT DERIVED FROM ASSESSMENTS TO REIMBURSE CLAIMS OR LOSSES.</w:t>
      </w:r>
    </w:p>
    <w:p w14:paraId="6E75DF0D"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14:paraId="3AFADEB3"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404E3">
        <w:rPr>
          <w:rFonts w:eastAsia="Times New Roman" w:cs="Times New Roman"/>
        </w:rPr>
        <w:t>Be it enacted by the General Assembly of the State of South Carolina:</w:t>
      </w:r>
    </w:p>
    <w:p w14:paraId="453E3EEF"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000142BA"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South Carolina Grain and Cotton Producers Guaranty Fund</w:t>
      </w:r>
    </w:p>
    <w:p w14:paraId="4B697C43" w14:textId="77777777" w:rsidR="0014201F" w:rsidRPr="00126B90"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p>
    <w:p w14:paraId="28D0F401"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SECTION</w:t>
      </w:r>
      <w:r w:rsidRPr="00D404E3">
        <w:rPr>
          <w:rFonts w:cs="Times New Roman"/>
          <w:szCs w:val="32"/>
          <w:u w:color="000000" w:themeColor="text1"/>
        </w:rPr>
        <w:tab/>
        <w:t>1.</w:t>
      </w:r>
      <w:r w:rsidRPr="00D404E3">
        <w:rPr>
          <w:rFonts w:cs="Times New Roman"/>
          <w:szCs w:val="32"/>
          <w:u w:color="000000" w:themeColor="text1"/>
        </w:rPr>
        <w:tab/>
        <w:t>Article 2, Chapter 41, Title 46 of the 1976 Code is amended to read:</w:t>
      </w:r>
    </w:p>
    <w:p w14:paraId="732D8DA5"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32"/>
          <w:u w:color="000000" w:themeColor="text1"/>
        </w:rPr>
      </w:pPr>
      <w:r w:rsidRPr="00D404E3">
        <w:rPr>
          <w:rFonts w:cs="Times New Roman"/>
          <w:szCs w:val="32"/>
          <w:u w:color="000000" w:themeColor="text1"/>
        </w:rPr>
        <w:t>“A</w:t>
      </w:r>
      <w:r>
        <w:rPr>
          <w:rFonts w:cs="Times New Roman"/>
          <w:szCs w:val="32"/>
          <w:u w:color="000000" w:themeColor="text1"/>
        </w:rPr>
        <w:t>rticle</w:t>
      </w:r>
      <w:r w:rsidRPr="00D404E3">
        <w:rPr>
          <w:rFonts w:cs="Times New Roman"/>
          <w:szCs w:val="32"/>
          <w:u w:color="000000" w:themeColor="text1"/>
        </w:rPr>
        <w:t xml:space="preserve"> 2</w:t>
      </w:r>
    </w:p>
    <w:p w14:paraId="359FF77E"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32"/>
          <w:u w:color="000000" w:themeColor="text1"/>
        </w:rPr>
      </w:pPr>
    </w:p>
    <w:p w14:paraId="54E65CB0"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32"/>
          <w:u w:color="000000" w:themeColor="text1"/>
        </w:rPr>
      </w:pPr>
      <w:r w:rsidRPr="00D404E3">
        <w:rPr>
          <w:rFonts w:cs="Times New Roman"/>
          <w:szCs w:val="32"/>
          <w:u w:color="000000" w:themeColor="text1"/>
        </w:rPr>
        <w:t>South Carolina Grain and Cotton Producers Guaranty Fund</w:t>
      </w:r>
    </w:p>
    <w:p w14:paraId="247EA375"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14:paraId="295178FA"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u w:color="000000" w:themeColor="text1"/>
        </w:rPr>
        <w:t>200.</w:t>
      </w:r>
      <w:r w:rsidRPr="00D404E3">
        <w:rPr>
          <w:rFonts w:cs="Times New Roman"/>
          <w:szCs w:val="32"/>
          <w:u w:color="000000" w:themeColor="text1"/>
        </w:rPr>
        <w:tab/>
        <w:t xml:space="preserve">There is created within the State Treasury a fund to be known as the </w:t>
      </w:r>
      <w:r>
        <w:rPr>
          <w:rFonts w:cs="Times New Roman"/>
          <w:szCs w:val="32"/>
          <w:u w:color="000000" w:themeColor="text1"/>
        </w:rPr>
        <w:t>‘</w:t>
      </w:r>
      <w:r w:rsidRPr="00D404E3">
        <w:rPr>
          <w:rFonts w:cs="Times New Roman"/>
          <w:szCs w:val="32"/>
          <w:u w:color="000000" w:themeColor="text1"/>
        </w:rPr>
        <w:t>South Carolina Grain and Cotton Producers Guaranty Fund</w:t>
      </w:r>
      <w:r>
        <w:rPr>
          <w:rFonts w:cs="Times New Roman"/>
          <w:szCs w:val="32"/>
          <w:u w:color="000000" w:themeColor="text1"/>
        </w:rPr>
        <w:t>’</w:t>
      </w:r>
      <w:r w:rsidRPr="00D404E3">
        <w:rPr>
          <w:rFonts w:cs="Times New Roman"/>
          <w:szCs w:val="32"/>
          <w:u w:color="000000" w:themeColor="text1"/>
        </w:rPr>
        <w:t xml:space="preserve"> (fund).</w:t>
      </w:r>
    </w:p>
    <w:p w14:paraId="359ACE83"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0EF13A34"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u w:color="000000" w:themeColor="text1"/>
        </w:rPr>
        <w:tab/>
      </w:r>
      <w:r w:rsidRPr="00D404E3">
        <w:rPr>
          <w:rFonts w:cs="Times New Roman"/>
          <w:szCs w:val="32"/>
          <w:u w:color="000000" w:themeColor="text1"/>
        </w:rPr>
        <w:t>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u w:color="000000" w:themeColor="text1"/>
        </w:rPr>
        <w:t>210. As used in this article:</w:t>
      </w:r>
    </w:p>
    <w:p w14:paraId="5752A2B9"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(1)</w:t>
      </w:r>
      <w:r w:rsidRPr="00D404E3">
        <w:rPr>
          <w:rFonts w:cs="Times New Roman"/>
          <w:szCs w:val="32"/>
          <w:u w:color="000000" w:themeColor="text1"/>
        </w:rPr>
        <w:tab/>
      </w:r>
      <w:r>
        <w:rPr>
          <w:rFonts w:cs="Times New Roman"/>
          <w:szCs w:val="32"/>
          <w:u w:color="000000" w:themeColor="text1"/>
        </w:rPr>
        <w:t>‘</w:t>
      </w:r>
      <w:r w:rsidRPr="00D404E3">
        <w:rPr>
          <w:rFonts w:cs="Times New Roman"/>
          <w:szCs w:val="32"/>
          <w:u w:color="000000" w:themeColor="text1"/>
        </w:rPr>
        <w:t>Agricultural commodity</w:t>
      </w:r>
      <w:r>
        <w:rPr>
          <w:rFonts w:cs="Times New Roman"/>
          <w:szCs w:val="32"/>
          <w:u w:color="000000" w:themeColor="text1"/>
        </w:rPr>
        <w:t>’</w:t>
      </w:r>
      <w:r w:rsidRPr="00D404E3">
        <w:rPr>
          <w:rFonts w:cs="Times New Roman"/>
          <w:szCs w:val="32"/>
          <w:u w:color="000000" w:themeColor="text1"/>
        </w:rPr>
        <w:t xml:space="preserve"> or </w:t>
      </w:r>
      <w:r>
        <w:rPr>
          <w:rFonts w:cs="Times New Roman"/>
          <w:szCs w:val="32"/>
          <w:u w:color="000000" w:themeColor="text1"/>
        </w:rPr>
        <w:t>‘</w:t>
      </w:r>
      <w:r w:rsidRPr="00D404E3">
        <w:rPr>
          <w:rFonts w:cs="Times New Roman"/>
          <w:szCs w:val="32"/>
          <w:u w:color="000000" w:themeColor="text1"/>
        </w:rPr>
        <w:t>commodity</w:t>
      </w:r>
      <w:r>
        <w:rPr>
          <w:rFonts w:cs="Times New Roman"/>
          <w:szCs w:val="32"/>
          <w:u w:color="000000" w:themeColor="text1"/>
        </w:rPr>
        <w:t>’</w:t>
      </w:r>
      <w:r w:rsidRPr="00D404E3">
        <w:rPr>
          <w:rFonts w:cs="Times New Roman"/>
          <w:szCs w:val="32"/>
          <w:u w:color="000000" w:themeColor="text1"/>
        </w:rPr>
        <w:t xml:space="preserve"> means cotton and all agricultural products commonly classed as grain, including corn, wheat, oats, soybeans, barley, and grain sorghum, produced within this State.</w:t>
      </w:r>
    </w:p>
    <w:p w14:paraId="18397823"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(2)</w:t>
      </w:r>
      <w:r w:rsidRPr="00D404E3">
        <w:rPr>
          <w:rFonts w:cs="Times New Roman"/>
          <w:szCs w:val="32"/>
          <w:u w:color="000000" w:themeColor="text1"/>
        </w:rPr>
        <w:tab/>
      </w:r>
      <w:r>
        <w:rPr>
          <w:rFonts w:cs="Times New Roman"/>
          <w:szCs w:val="32"/>
          <w:u w:color="000000" w:themeColor="text1"/>
        </w:rPr>
        <w:t>‘</w:t>
      </w:r>
      <w:r w:rsidRPr="00D404E3">
        <w:rPr>
          <w:rFonts w:cs="Times New Roman"/>
          <w:szCs w:val="32"/>
          <w:u w:color="000000" w:themeColor="text1"/>
        </w:rPr>
        <w:t>Agricultural commodity dealer</w:t>
      </w:r>
      <w:r>
        <w:rPr>
          <w:rFonts w:cs="Times New Roman"/>
          <w:szCs w:val="32"/>
          <w:u w:color="000000" w:themeColor="text1"/>
        </w:rPr>
        <w:t>’</w:t>
      </w:r>
      <w:r w:rsidRPr="00D404E3">
        <w:rPr>
          <w:rFonts w:cs="Times New Roman"/>
          <w:szCs w:val="32"/>
          <w:u w:color="000000" w:themeColor="text1"/>
        </w:rPr>
        <w:t xml:space="preserve"> or </w:t>
      </w:r>
      <w:r>
        <w:rPr>
          <w:rFonts w:cs="Times New Roman"/>
          <w:szCs w:val="32"/>
          <w:u w:color="000000" w:themeColor="text1"/>
        </w:rPr>
        <w:t>‘</w:t>
      </w:r>
      <w:r w:rsidRPr="00D404E3">
        <w:rPr>
          <w:rFonts w:cs="Times New Roman"/>
          <w:szCs w:val="32"/>
          <w:u w:color="000000" w:themeColor="text1"/>
        </w:rPr>
        <w:t>commodity dealer</w:t>
      </w:r>
      <w:r>
        <w:rPr>
          <w:rFonts w:cs="Times New Roman"/>
          <w:szCs w:val="32"/>
          <w:u w:color="000000" w:themeColor="text1"/>
        </w:rPr>
        <w:t>’</w:t>
      </w:r>
      <w:r w:rsidRPr="00D404E3">
        <w:rPr>
          <w:rFonts w:cs="Times New Roman"/>
          <w:szCs w:val="32"/>
          <w:u w:color="000000" w:themeColor="text1"/>
        </w:rPr>
        <w:t xml:space="preserve"> means any person in this State engaged in buying, receiving, selling, exchanging, negotiating, processing for resale, or soliciting the sale, resale, exchange, or transfer of grain or cotton purchased from a producer or his agent or representative or received to be handled on a net return basis from the producer. An agricultural commodity dealer shall include cotton gins if the gin is engaged in the above</w:t>
      </w:r>
      <w:r>
        <w:rPr>
          <w:rFonts w:cs="Times New Roman"/>
          <w:szCs w:val="32"/>
          <w:u w:color="000000" w:themeColor="text1"/>
        </w:rPr>
        <w:noBreakHyphen/>
      </w:r>
      <w:r w:rsidRPr="00D404E3">
        <w:rPr>
          <w:rFonts w:cs="Times New Roman"/>
          <w:szCs w:val="32"/>
          <w:u w:color="000000" w:themeColor="text1"/>
        </w:rPr>
        <w:t>described activity.</w:t>
      </w:r>
    </w:p>
    <w:p w14:paraId="6FC2A3E3"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(3)</w:t>
      </w:r>
      <w:r w:rsidRPr="00D404E3">
        <w:rPr>
          <w:rFonts w:cs="Times New Roman"/>
          <w:szCs w:val="32"/>
          <w:u w:color="000000" w:themeColor="text1"/>
        </w:rPr>
        <w:tab/>
      </w:r>
      <w:r>
        <w:rPr>
          <w:rFonts w:cs="Times New Roman"/>
          <w:szCs w:val="32"/>
          <w:u w:color="000000" w:themeColor="text1"/>
        </w:rPr>
        <w:t>‘</w:t>
      </w:r>
      <w:r w:rsidRPr="00D404E3">
        <w:rPr>
          <w:rFonts w:cs="Times New Roman"/>
          <w:szCs w:val="32"/>
          <w:u w:color="000000" w:themeColor="text1"/>
        </w:rPr>
        <w:t>Department</w:t>
      </w:r>
      <w:r>
        <w:rPr>
          <w:rFonts w:cs="Times New Roman"/>
          <w:szCs w:val="32"/>
          <w:u w:color="000000" w:themeColor="text1"/>
        </w:rPr>
        <w:t>’</w:t>
      </w:r>
      <w:r w:rsidRPr="00D404E3">
        <w:rPr>
          <w:rFonts w:cs="Times New Roman"/>
          <w:szCs w:val="32"/>
          <w:u w:color="000000" w:themeColor="text1"/>
        </w:rPr>
        <w:t xml:space="preserve"> means the South Carolina Department of Agriculture.</w:t>
      </w:r>
    </w:p>
    <w:p w14:paraId="19163F1E"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(4)</w:t>
      </w:r>
      <w:r w:rsidRPr="00D404E3">
        <w:rPr>
          <w:rFonts w:cs="Times New Roman"/>
          <w:szCs w:val="32"/>
          <w:u w:color="000000" w:themeColor="text1"/>
        </w:rPr>
        <w:tab/>
      </w:r>
      <w:r>
        <w:rPr>
          <w:rFonts w:cs="Times New Roman"/>
          <w:szCs w:val="32"/>
          <w:u w:color="000000" w:themeColor="text1"/>
        </w:rPr>
        <w:t>‘</w:t>
      </w:r>
      <w:r w:rsidRPr="00D404E3">
        <w:rPr>
          <w:rFonts w:cs="Times New Roman"/>
          <w:szCs w:val="32"/>
          <w:u w:color="000000" w:themeColor="text1"/>
        </w:rPr>
        <w:t>Fair market value</w:t>
      </w:r>
      <w:r>
        <w:rPr>
          <w:rFonts w:cs="Times New Roman"/>
          <w:szCs w:val="32"/>
          <w:u w:color="000000" w:themeColor="text1"/>
        </w:rPr>
        <w:t>’</w:t>
      </w:r>
      <w:r w:rsidRPr="00D404E3">
        <w:rPr>
          <w:rFonts w:cs="Times New Roman"/>
          <w:szCs w:val="32"/>
          <w:u w:color="000000" w:themeColor="text1"/>
        </w:rPr>
        <w:t xml:space="preserve"> means the value based on the average market price being paid to producers on a specified date by the three licensed </w:t>
      </w:r>
      <w:r w:rsidRPr="00D404E3">
        <w:rPr>
          <w:rFonts w:cs="Times New Roman"/>
          <w:szCs w:val="32"/>
          <w:u w:color="000000" w:themeColor="text1"/>
        </w:rPr>
        <w:lastRenderedPageBreak/>
        <w:t>grain or cotton dealers nearest the grain or cotton dealer involved in the loss.</w:t>
      </w:r>
    </w:p>
    <w:p w14:paraId="05801AEC"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(5)</w:t>
      </w:r>
      <w:r w:rsidRPr="00D404E3">
        <w:rPr>
          <w:rFonts w:cs="Times New Roman"/>
          <w:szCs w:val="32"/>
          <w:u w:color="000000" w:themeColor="text1"/>
        </w:rPr>
        <w:tab/>
      </w:r>
      <w:r>
        <w:rPr>
          <w:rFonts w:cs="Times New Roman"/>
          <w:szCs w:val="32"/>
          <w:u w:color="000000" w:themeColor="text1"/>
        </w:rPr>
        <w:t>‘</w:t>
      </w:r>
      <w:r w:rsidRPr="00D404E3">
        <w:rPr>
          <w:rFonts w:cs="Times New Roman"/>
          <w:szCs w:val="32"/>
          <w:u w:color="000000" w:themeColor="text1"/>
        </w:rPr>
        <w:t>Grain</w:t>
      </w:r>
      <w:r>
        <w:rPr>
          <w:rFonts w:cs="Times New Roman"/>
          <w:szCs w:val="32"/>
          <w:u w:color="000000" w:themeColor="text1"/>
        </w:rPr>
        <w:t>’</w:t>
      </w:r>
      <w:r w:rsidRPr="00D404E3">
        <w:rPr>
          <w:rFonts w:cs="Times New Roman"/>
          <w:szCs w:val="32"/>
          <w:u w:color="000000" w:themeColor="text1"/>
        </w:rPr>
        <w:t xml:space="preserve"> means any feed grains or oil seeds, except cotton seeds.</w:t>
      </w:r>
    </w:p>
    <w:p w14:paraId="1E958BFB"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u w:color="000000" w:themeColor="text1"/>
        </w:rPr>
        <w:tab/>
      </w:r>
      <w:r w:rsidRPr="00D404E3">
        <w:rPr>
          <w:rFonts w:cs="Times New Roman"/>
          <w:szCs w:val="32"/>
          <w:u w:color="000000" w:themeColor="text1"/>
        </w:rPr>
        <w:t>(6)</w:t>
      </w:r>
      <w:r w:rsidRPr="00D404E3">
        <w:rPr>
          <w:rFonts w:cs="Times New Roman"/>
          <w:szCs w:val="32"/>
          <w:u w:color="000000" w:themeColor="text1"/>
        </w:rPr>
        <w:tab/>
      </w:r>
      <w:r>
        <w:rPr>
          <w:rFonts w:cs="Times New Roman"/>
          <w:szCs w:val="32"/>
          <w:u w:color="000000" w:themeColor="text1"/>
        </w:rPr>
        <w:t>‘</w:t>
      </w:r>
      <w:r w:rsidRPr="00D404E3">
        <w:rPr>
          <w:rFonts w:cs="Times New Roman"/>
          <w:szCs w:val="32"/>
          <w:u w:color="000000" w:themeColor="text1"/>
        </w:rPr>
        <w:t>Loss</w:t>
      </w:r>
      <w:r>
        <w:rPr>
          <w:rFonts w:cs="Times New Roman"/>
          <w:szCs w:val="32"/>
          <w:u w:color="000000" w:themeColor="text1"/>
        </w:rPr>
        <w:t>’</w:t>
      </w:r>
      <w:r w:rsidRPr="00D404E3">
        <w:rPr>
          <w:rFonts w:cs="Times New Roman"/>
          <w:szCs w:val="32"/>
          <w:u w:color="000000" w:themeColor="text1"/>
        </w:rPr>
        <w:t xml:space="preserve"> means any monetary loss over and beyond the amount protected by the dealer</w:t>
      </w:r>
      <w:r>
        <w:rPr>
          <w:rFonts w:cs="Times New Roman"/>
          <w:szCs w:val="32"/>
          <w:u w:color="000000" w:themeColor="text1"/>
        </w:rPr>
        <w:t>’</w:t>
      </w:r>
      <w:r w:rsidRPr="00D404E3">
        <w:rPr>
          <w:rFonts w:cs="Times New Roman"/>
          <w:szCs w:val="32"/>
          <w:u w:color="000000" w:themeColor="text1"/>
        </w:rPr>
        <w:t>s bond as a result of doing business with a dealer which includes, but is not limited to, bankruptcy, embezzlement, or fraud.</w:t>
      </w:r>
    </w:p>
    <w:p w14:paraId="6A27D128"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(7)</w:t>
      </w:r>
      <w:r w:rsidRPr="00D404E3">
        <w:rPr>
          <w:rFonts w:cs="Times New Roman"/>
          <w:szCs w:val="32"/>
          <w:u w:color="000000" w:themeColor="text1"/>
        </w:rPr>
        <w:tab/>
      </w:r>
      <w:r>
        <w:rPr>
          <w:rFonts w:cs="Times New Roman"/>
          <w:szCs w:val="32"/>
          <w:u w:color="000000" w:themeColor="text1"/>
        </w:rPr>
        <w:t>‘</w:t>
      </w:r>
      <w:r w:rsidRPr="00D404E3">
        <w:rPr>
          <w:rFonts w:cs="Times New Roman"/>
          <w:szCs w:val="32"/>
          <w:u w:color="000000" w:themeColor="text1"/>
        </w:rPr>
        <w:t>Producer</w:t>
      </w:r>
      <w:r>
        <w:rPr>
          <w:rFonts w:cs="Times New Roman"/>
          <w:szCs w:val="32"/>
          <w:u w:color="000000" w:themeColor="text1"/>
        </w:rPr>
        <w:t>’</w:t>
      </w:r>
      <w:r w:rsidRPr="00D404E3">
        <w:rPr>
          <w:rFonts w:cs="Times New Roman"/>
          <w:szCs w:val="32"/>
          <w:u w:color="000000" w:themeColor="text1"/>
        </w:rPr>
        <w:t xml:space="preserve"> means any producer of grain or cotton.</w:t>
      </w:r>
    </w:p>
    <w:p w14:paraId="148FD57C"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(8)</w:t>
      </w:r>
      <w:r w:rsidRPr="00D404E3">
        <w:rPr>
          <w:rFonts w:cs="Times New Roman"/>
          <w:szCs w:val="32"/>
          <w:u w:color="000000" w:themeColor="text1"/>
        </w:rPr>
        <w:tab/>
      </w:r>
      <w:r>
        <w:rPr>
          <w:rFonts w:cs="Times New Roman"/>
          <w:szCs w:val="32"/>
          <w:u w:color="000000" w:themeColor="text1"/>
        </w:rPr>
        <w:t>‘</w:t>
      </w:r>
      <w:r w:rsidRPr="00D404E3">
        <w:rPr>
          <w:rFonts w:cs="Times New Roman"/>
          <w:szCs w:val="32"/>
          <w:u w:color="000000" w:themeColor="text1"/>
        </w:rPr>
        <w:t>Date of loss</w:t>
      </w:r>
      <w:r>
        <w:rPr>
          <w:rFonts w:cs="Times New Roman"/>
          <w:szCs w:val="32"/>
          <w:u w:color="000000" w:themeColor="text1"/>
        </w:rPr>
        <w:t>’</w:t>
      </w:r>
      <w:r w:rsidRPr="00D404E3">
        <w:rPr>
          <w:rFonts w:cs="Times New Roman"/>
          <w:szCs w:val="32"/>
          <w:u w:color="000000" w:themeColor="text1"/>
        </w:rPr>
        <w:t xml:space="preserve"> means the date the commodity dealer filed a petition for bankruptcy; or, if bankruptcy is not declared, the date a check was returned for insufficient funds, or the date otherwise determined by the department.</w:t>
      </w:r>
    </w:p>
    <w:p w14:paraId="6CFDA360"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14:paraId="597195F4"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u w:color="000000" w:themeColor="text1"/>
        </w:rPr>
        <w:t>220.</w:t>
      </w:r>
      <w:r w:rsidRPr="00D404E3">
        <w:rPr>
          <w:rFonts w:cs="Times New Roman"/>
          <w:szCs w:val="32"/>
          <w:u w:color="000000" w:themeColor="text1"/>
        </w:rPr>
        <w:tab/>
        <w:t>An assessment of one cent a bushel must be imposed on all soybeans, one</w:t>
      </w:r>
      <w:r>
        <w:rPr>
          <w:rFonts w:cs="Times New Roman"/>
          <w:szCs w:val="32"/>
          <w:u w:color="000000" w:themeColor="text1"/>
        </w:rPr>
        <w:noBreakHyphen/>
      </w:r>
      <w:r w:rsidRPr="00D404E3">
        <w:rPr>
          <w:rFonts w:cs="Times New Roman"/>
          <w:szCs w:val="32"/>
          <w:u w:color="000000" w:themeColor="text1"/>
        </w:rPr>
        <w:t>half cent a bushel on all other grain delivered by producers, and fifty cents per bale of cotton. The assessment for soybeans and grain shall be collected at the first point of sale. The assessment for cotton shall be collected at the time and place of ginning. The grain assessment must be reported and remitted to the department by the grain dealer as of the calendar quarter in which the grain was delivered to the grain dealer, except as provided by 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u w:color="000000" w:themeColor="text1"/>
        </w:rPr>
        <w:t>240. The cotton assessment must be reported and remitted to the department by the cotton gin as of the calendar quarter in which the cotton was ginned, except as provided by 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u w:color="000000" w:themeColor="text1"/>
        </w:rPr>
        <w:t>240. The department shall remit the assessment to the State Treasurer to be credited to the fund.</w:t>
      </w:r>
    </w:p>
    <w:p w14:paraId="7592AA0C"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14:paraId="16928A98"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u w:color="000000" w:themeColor="text1"/>
        </w:rPr>
        <w:t>230.</w:t>
      </w:r>
      <w:r w:rsidRPr="00D404E3">
        <w:rPr>
          <w:rFonts w:cs="Times New Roman"/>
          <w:szCs w:val="32"/>
          <w:u w:color="000000" w:themeColor="text1"/>
        </w:rPr>
        <w:tab/>
        <w:t>(A)</w:t>
      </w:r>
      <w:r w:rsidRPr="00D404E3">
        <w:rPr>
          <w:rFonts w:cs="Times New Roman"/>
          <w:szCs w:val="32"/>
          <w:u w:color="000000" w:themeColor="text1"/>
        </w:rPr>
        <w:tab/>
        <w:t>The State Treasurer shall administer the investment of the fund. The department shall administer the collection of assessments and investigate losses for which payment is requested. Unless the agricultural commodity dealer who allegedly occasioned the loss has filed for bankruptcy or is audited pursuant to other judicial proceedings, the department, in conjunction with the State Auditor</w:t>
      </w:r>
      <w:r>
        <w:rPr>
          <w:rFonts w:cs="Times New Roman"/>
          <w:szCs w:val="32"/>
          <w:u w:color="000000" w:themeColor="text1"/>
        </w:rPr>
        <w:t>’</w:t>
      </w:r>
      <w:r w:rsidRPr="00D404E3">
        <w:rPr>
          <w:rFonts w:cs="Times New Roman"/>
          <w:szCs w:val="32"/>
          <w:u w:color="000000" w:themeColor="text1"/>
        </w:rPr>
        <w:t>s Office, shall conduct a financial audit of the agricultural commodity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suffer losses on  agricultural commodities for which they have paid assessments on, except losses covered by the agricultural commodity dealer</w:t>
      </w:r>
      <w:r>
        <w:rPr>
          <w:rFonts w:cs="Times New Roman"/>
          <w:szCs w:val="32"/>
          <w:u w:color="000000" w:themeColor="text1"/>
        </w:rPr>
        <w:t>’</w:t>
      </w:r>
      <w:r w:rsidRPr="00D404E3">
        <w:rPr>
          <w:rFonts w:cs="Times New Roman"/>
          <w:szCs w:val="32"/>
          <w:u w:color="000000" w:themeColor="text1"/>
        </w:rPr>
        <w:t>s surety bond. When the fund reaches twenty</w:t>
      </w:r>
      <w:r>
        <w:rPr>
          <w:rFonts w:cs="Times New Roman"/>
          <w:szCs w:val="32"/>
          <w:u w:color="000000" w:themeColor="text1"/>
        </w:rPr>
        <w:noBreakHyphen/>
      </w:r>
      <w:r w:rsidRPr="00D404E3">
        <w:rPr>
          <w:rFonts w:cs="Times New Roman"/>
          <w:szCs w:val="32"/>
          <w:u w:color="000000" w:themeColor="text1"/>
        </w:rPr>
        <w:t>five million dollars, the assessment ceases. If the twenty</w:t>
      </w:r>
      <w:r>
        <w:rPr>
          <w:rFonts w:cs="Times New Roman"/>
          <w:szCs w:val="32"/>
          <w:u w:color="000000" w:themeColor="text1"/>
        </w:rPr>
        <w:noBreakHyphen/>
      </w:r>
      <w:r w:rsidRPr="00D404E3">
        <w:rPr>
          <w:rFonts w:cs="Times New Roman"/>
          <w:szCs w:val="32"/>
          <w:u w:color="000000" w:themeColor="text1"/>
        </w:rPr>
        <w:t xml:space="preserve">five million dollars is attained prior to the end of a harvest season, the assessment continues until the end of that season. The </w:t>
      </w:r>
      <w:r w:rsidRPr="00D404E3">
        <w:rPr>
          <w:rFonts w:cs="Times New Roman"/>
          <w:szCs w:val="32"/>
          <w:u w:color="000000" w:themeColor="text1"/>
        </w:rPr>
        <w:lastRenderedPageBreak/>
        <w:t>assessment must be reinstituted as necessary to maintain a balance of twenty</w:t>
      </w:r>
      <w:r>
        <w:rPr>
          <w:rFonts w:cs="Times New Roman"/>
          <w:szCs w:val="32"/>
          <w:u w:color="000000" w:themeColor="text1"/>
        </w:rPr>
        <w:noBreakHyphen/>
      </w:r>
      <w:r w:rsidRPr="00D404E3">
        <w:rPr>
          <w:rFonts w:cs="Times New Roman"/>
          <w:szCs w:val="32"/>
          <w:u w:color="000000" w:themeColor="text1"/>
        </w:rPr>
        <w:t>five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w:t>
      </w:r>
    </w:p>
    <w:p w14:paraId="0EDBA2FE"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(B)</w:t>
      </w:r>
      <w:r w:rsidRPr="00D404E3">
        <w:rPr>
          <w:rFonts w:cs="Times New Roman"/>
          <w:szCs w:val="32"/>
          <w:u w:color="000000" w:themeColor="text1"/>
        </w:rPr>
        <w:tab/>
        <w:t>When a loss is incurred for an agricultural commodity for which  assessments have been paid within two years of the date of loss, the producer shall within ninety days present his claim, which must be under oath, to the department on a form supplied by the department. To verify his claim, the producer shall present any evidence of loss the department considers necessary. The price for each bushel or bale of the agricultural commodity must be established on the day of the loss and must be for the fair market value on that day at the location of loss. The price for each bushel or bale may not be higher than the contract price, if a price has been established. All persons filing claims under this section are bound by the value determined by the department.</w:t>
      </w:r>
    </w:p>
    <w:p w14:paraId="1B089F7A"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(C)</w:t>
      </w:r>
      <w:r w:rsidRPr="00D404E3">
        <w:rPr>
          <w:rFonts w:cs="Times New Roman"/>
          <w:szCs w:val="32"/>
          <w:u w:color="000000" w:themeColor="text1"/>
        </w:rPr>
        <w:tab/>
        <w:t>The department within thirty days from verification of loss shall request payment of one hundred percent of the approved claim. At no time may the fund be reduced to less than one hundred thousand dollars.</w:t>
      </w:r>
    </w:p>
    <w:p w14:paraId="34DABD73"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(D)</w:t>
      </w:r>
      <w:r w:rsidRPr="00D404E3">
        <w:rPr>
          <w:rFonts w:cs="Times New Roman"/>
          <w:szCs w:val="32"/>
          <w:u w:color="000000" w:themeColor="text1"/>
        </w:rPr>
        <w:tab/>
        <w:t>If there is an insufficient amount of money in the fund to cover all claims, payments must be made on a pro rata basis up to one hundred percent of the total loss of each producer.  Claims against the fund must be paid in the order in which they have been verified and approved.</w:t>
      </w:r>
    </w:p>
    <w:p w14:paraId="46A2AC1C"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(E)</w:t>
      </w:r>
      <w:r w:rsidRPr="00D404E3">
        <w:rPr>
          <w:rFonts w:cs="Times New Roman"/>
          <w:szCs w:val="32"/>
          <w:u w:color="000000" w:themeColor="text1"/>
        </w:rPr>
        <w:tab/>
        <w:t>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p>
    <w:p w14:paraId="69B18503"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14:paraId="5A48B1EF"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u w:color="000000" w:themeColor="text1"/>
        </w:rPr>
        <w:t>240.</w:t>
      </w:r>
      <w:r w:rsidRPr="00D404E3">
        <w:rPr>
          <w:rFonts w:cs="Times New Roman"/>
          <w:szCs w:val="32"/>
          <w:u w:color="000000" w:themeColor="text1"/>
        </w:rPr>
        <w:tab/>
        <w:t>(A)</w:t>
      </w:r>
      <w:r w:rsidRPr="00D404E3">
        <w:rPr>
          <w:rFonts w:cs="Times New Roman"/>
          <w:szCs w:val="32"/>
          <w:u w:color="000000" w:themeColor="text1"/>
        </w:rPr>
        <w:tab/>
        <w:t xml:space="preserve">The agricultural commodity dealer shall remit assessments and file with the department a report of the assessments on agricultural commodities that he received by the first day of January, April, July, and October following any calendar quarter in which the agricultural commodity dealer has received quantities of grain or cotton subject to assessments totaling fifty dollars or more. If  the agricultural commodity dealer has received quantities of grain or cotton subject to assessments totaling less than fifty dollars in any calendar quarter, the assessments may be reported and remitted with the following </w:t>
      </w:r>
      <w:r w:rsidRPr="00D404E3">
        <w:rPr>
          <w:rFonts w:cs="Times New Roman"/>
          <w:szCs w:val="32"/>
          <w:u w:color="000000" w:themeColor="text1"/>
        </w:rPr>
        <w:lastRenderedPageBreak/>
        <w:t>calendar quarter</w:t>
      </w:r>
      <w:r>
        <w:rPr>
          <w:rFonts w:cs="Times New Roman"/>
          <w:szCs w:val="32"/>
          <w:u w:color="000000" w:themeColor="text1"/>
        </w:rPr>
        <w:t>’</w:t>
      </w:r>
      <w:r w:rsidRPr="00D404E3">
        <w:rPr>
          <w:rFonts w:cs="Times New Roman"/>
          <w:szCs w:val="32"/>
          <w:u w:color="000000" w:themeColor="text1"/>
        </w:rPr>
        <w:t>s return. All assessments shall be remitted at least once every six months.</w:t>
      </w:r>
    </w:p>
    <w:p w14:paraId="31DF029B"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(B)</w:t>
      </w:r>
      <w:r w:rsidRPr="00D404E3">
        <w:rPr>
          <w:rFonts w:cs="Times New Roman"/>
          <w:szCs w:val="32"/>
          <w:u w:color="000000" w:themeColor="text1"/>
        </w:rPr>
        <w:tab/>
        <w:t>In case any person subject to this section fails to make a report and remittance when required, the department shall determine the amount of the assessment according to its best judgment and information and that amount shall be prima facie correct. The person who failed to make the report shall, within ten days after notice of the amount of the assessment is mailed to him, pay the assessment, together with a penalty of ten percent, or dispute the assessment and request a hearing to determine its amount and the penalty to be imposed. No payment shall be made until the department enters its order determining the amount of the payment. However, the payment shall be made within ten days</w:t>
      </w:r>
      <w:r>
        <w:rPr>
          <w:rFonts w:cs="Times New Roman"/>
          <w:szCs w:val="32"/>
          <w:u w:color="000000" w:themeColor="text1"/>
        </w:rPr>
        <w:t>’</w:t>
      </w:r>
      <w:r w:rsidRPr="00D404E3">
        <w:rPr>
          <w:rFonts w:cs="Times New Roman"/>
          <w:szCs w:val="32"/>
          <w:u w:color="000000" w:themeColor="text1"/>
        </w:rPr>
        <w:t xml:space="preserve"> notice of the order. On failure to remit payment within ten days of the receipt of notice of the order, the department may suspend the dealer</w:t>
      </w:r>
      <w:r>
        <w:rPr>
          <w:rFonts w:cs="Times New Roman"/>
          <w:szCs w:val="32"/>
          <w:u w:color="000000" w:themeColor="text1"/>
        </w:rPr>
        <w:t>’</w:t>
      </w:r>
      <w:r w:rsidRPr="00D404E3">
        <w:rPr>
          <w:rFonts w:cs="Times New Roman"/>
          <w:szCs w:val="32"/>
          <w:u w:color="000000" w:themeColor="text1"/>
        </w:rPr>
        <w:t>s license under the provisions of 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u w:color="000000" w:themeColor="text1"/>
        </w:rPr>
        <w:t>130.</w:t>
      </w:r>
    </w:p>
    <w:p w14:paraId="5373B38C"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14:paraId="18BBE764"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u w:color="000000" w:themeColor="text1"/>
        </w:rPr>
        <w:t>250.</w:t>
      </w:r>
      <w:r w:rsidRPr="00D404E3">
        <w:rPr>
          <w:rFonts w:cs="Times New Roman"/>
          <w:szCs w:val="32"/>
          <w:u w:color="000000" w:themeColor="text1"/>
        </w:rPr>
        <w:tab/>
        <w:t>(A)</w:t>
      </w:r>
      <w:r w:rsidRPr="00D404E3">
        <w:rPr>
          <w:rFonts w:cs="Times New Roman"/>
          <w:szCs w:val="32"/>
          <w:u w:color="000000" w:themeColor="text1"/>
        </w:rPr>
        <w:tab/>
        <w:t>Notwithstanding any other provision of this chapter, any producer may elect not to participate in the fund for any calendar year by applying for an exemption with the department as provided in this section.</w:t>
      </w:r>
    </w:p>
    <w:p w14:paraId="7BA89F85"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(B)</w:t>
      </w:r>
      <w:r w:rsidRPr="00D404E3">
        <w:rPr>
          <w:rFonts w:cs="Times New Roman"/>
          <w:szCs w:val="32"/>
          <w:u w:color="000000" w:themeColor="text1"/>
        </w:rPr>
        <w:tab/>
        <w:t>The election consists of a written, notarized application upon a form designed and provided by the department. The application must be filed with the department before April first of the year for which the exemption is desired.</w:t>
      </w:r>
    </w:p>
    <w:p w14:paraId="0EFCBA5D"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(C)</w:t>
      </w:r>
      <w:r w:rsidRPr="00D404E3">
        <w:rPr>
          <w:rFonts w:cs="Times New Roman"/>
          <w:szCs w:val="32"/>
          <w:u w:color="000000" w:themeColor="text1"/>
        </w:rPr>
        <w:tab/>
        <w:t>Upon filing of the application, the department must issue the applicant an exemption certificate specifying the producer, commodity exempted, and period of exemption.  The certificate, when presented to the grain dealer upon delivery of the grain, entitles the specified producer to an exemption from the dealer</w:t>
      </w:r>
      <w:r>
        <w:rPr>
          <w:rFonts w:cs="Times New Roman"/>
          <w:szCs w:val="32"/>
          <w:u w:color="000000" w:themeColor="text1"/>
        </w:rPr>
        <w:t>’</w:t>
      </w:r>
      <w:r w:rsidRPr="00D404E3">
        <w:rPr>
          <w:rFonts w:cs="Times New Roman"/>
          <w:szCs w:val="32"/>
          <w:u w:color="000000" w:themeColor="text1"/>
        </w:rPr>
        <w:t>s and handler</w:t>
      </w:r>
      <w:r>
        <w:rPr>
          <w:rFonts w:cs="Times New Roman"/>
          <w:szCs w:val="32"/>
          <w:u w:color="000000" w:themeColor="text1"/>
        </w:rPr>
        <w:t>’</w:t>
      </w:r>
      <w:r w:rsidRPr="00D404E3">
        <w:rPr>
          <w:rFonts w:cs="Times New Roman"/>
          <w:szCs w:val="32"/>
          <w:u w:color="000000" w:themeColor="text1"/>
        </w:rPr>
        <w:t>s assessment on the specified commodity.</w:t>
      </w:r>
    </w:p>
    <w:p w14:paraId="10863DCE"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(D)</w:t>
      </w:r>
      <w:r w:rsidRPr="00D404E3">
        <w:rPr>
          <w:rFonts w:cs="Times New Roman"/>
          <w:szCs w:val="32"/>
          <w:u w:color="000000" w:themeColor="text1"/>
        </w:rPr>
        <w:tab/>
        <w:t>When an exemption is granted under this section, the grain dealer must retain a copy of the exemption certificate for a period of no less than two years. Any producer who elects not to participate in the fund is not eligible to be reimbursed for any loss for the commodity exempted for that calendar year.</w:t>
      </w:r>
    </w:p>
    <w:p w14:paraId="08FDCE46"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0BDEFD05"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u w:color="000000" w:themeColor="text1"/>
        </w:rPr>
        <w:tab/>
      </w:r>
      <w:r w:rsidRPr="00D404E3">
        <w:rPr>
          <w:rFonts w:cs="Times New Roman"/>
          <w:szCs w:val="32"/>
          <w:u w:color="000000" w:themeColor="text1"/>
        </w:rPr>
        <w:t>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u w:color="000000" w:themeColor="text1"/>
        </w:rPr>
        <w:t>260.</w:t>
      </w:r>
      <w:r w:rsidRPr="00D404E3">
        <w:rPr>
          <w:rFonts w:cs="Times New Roman"/>
          <w:szCs w:val="32"/>
          <w:u w:color="000000" w:themeColor="text1"/>
        </w:rPr>
        <w:tab/>
        <w:t>(A)</w:t>
      </w:r>
      <w:r w:rsidRPr="00D404E3">
        <w:rPr>
          <w:rFonts w:cs="Times New Roman"/>
          <w:szCs w:val="32"/>
          <w:u w:color="000000" w:themeColor="text1"/>
        </w:rPr>
        <w:tab/>
        <w:t>There is established within the Department of Agriculture the South Carolina Agricultural Commodities Advisory Commission to make recommendations to the department regarding the duties of the department in administering the Grain and Cotton Producers Guaranty Fund.</w:t>
      </w:r>
    </w:p>
    <w:p w14:paraId="049D5507"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(B)</w:t>
      </w:r>
      <w:r w:rsidRPr="00D404E3">
        <w:rPr>
          <w:rFonts w:cs="Times New Roman"/>
          <w:szCs w:val="32"/>
          <w:u w:color="000000" w:themeColor="text1"/>
        </w:rPr>
        <w:tab/>
        <w:t xml:space="preserve">The advisory commission shall consist of ten members, one of whom shall be the Commissioner of Agriculture, ex officio, and nine of </w:t>
      </w:r>
      <w:r w:rsidRPr="00D404E3">
        <w:rPr>
          <w:rFonts w:cs="Times New Roman"/>
          <w:szCs w:val="32"/>
          <w:u w:color="000000" w:themeColor="text1"/>
        </w:rPr>
        <w:lastRenderedPageBreak/>
        <w:t>whom shall be appointed by the commissioner, upon the advice and consent of the Senate. The commissioner shall appoint a:</w:t>
      </w:r>
    </w:p>
    <w:p w14:paraId="22D3A777"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r>
      <w:r w:rsidRPr="00D404E3">
        <w:rPr>
          <w:rFonts w:cs="Times New Roman"/>
          <w:szCs w:val="32"/>
          <w:u w:color="000000" w:themeColor="text1"/>
        </w:rPr>
        <w:tab/>
        <w:t>(1)</w:t>
      </w:r>
      <w:r w:rsidRPr="00D404E3">
        <w:rPr>
          <w:rFonts w:cs="Times New Roman"/>
          <w:szCs w:val="32"/>
          <w:u w:color="000000" w:themeColor="text1"/>
        </w:rPr>
        <w:tab/>
        <w:t>warehouseman or cotton ginner;</w:t>
      </w:r>
    </w:p>
    <w:p w14:paraId="2CCC435E"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r>
      <w:r w:rsidRPr="00D404E3">
        <w:rPr>
          <w:rFonts w:cs="Times New Roman"/>
          <w:szCs w:val="32"/>
          <w:u w:color="000000" w:themeColor="text1"/>
        </w:rPr>
        <w:tab/>
        <w:t>(2)</w:t>
      </w:r>
      <w:r w:rsidRPr="00D404E3">
        <w:rPr>
          <w:rFonts w:cs="Times New Roman"/>
          <w:szCs w:val="32"/>
          <w:u w:color="000000" w:themeColor="text1"/>
        </w:rPr>
        <w:tab/>
        <w:t>producer upon the recommendation of the South Carolina Corn and Soybean Association;</w:t>
      </w:r>
    </w:p>
    <w:p w14:paraId="33413D66"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r>
      <w:r w:rsidRPr="00D404E3">
        <w:rPr>
          <w:rFonts w:cs="Times New Roman"/>
          <w:szCs w:val="32"/>
          <w:u w:color="000000" w:themeColor="text1"/>
        </w:rPr>
        <w:tab/>
        <w:t>(3)</w:t>
      </w:r>
      <w:r w:rsidRPr="00D404E3">
        <w:rPr>
          <w:rFonts w:cs="Times New Roman"/>
          <w:szCs w:val="32"/>
          <w:u w:color="000000" w:themeColor="text1"/>
        </w:rPr>
        <w:tab/>
        <w:t>producer upon the recommendation of the South Carolina Farm Bureau Federation;</w:t>
      </w:r>
    </w:p>
    <w:p w14:paraId="68DD3A22"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r>
      <w:r w:rsidRPr="00D404E3">
        <w:rPr>
          <w:rFonts w:cs="Times New Roman"/>
          <w:szCs w:val="32"/>
          <w:u w:color="000000" w:themeColor="text1"/>
        </w:rPr>
        <w:tab/>
        <w:t>(4)</w:t>
      </w:r>
      <w:r w:rsidRPr="00D404E3">
        <w:rPr>
          <w:rFonts w:cs="Times New Roman"/>
          <w:szCs w:val="32"/>
          <w:u w:color="000000" w:themeColor="text1"/>
        </w:rPr>
        <w:tab/>
        <w:t xml:space="preserve">financier who is familiar with the financing of businesses that store or market the commodities that are regulated under this chapter upon the recommendation of a South Carolina financial institution with </w:t>
      </w:r>
      <w:r>
        <w:rPr>
          <w:rFonts w:cs="Times New Roman"/>
          <w:szCs w:val="32"/>
          <w:u w:color="000000" w:themeColor="text1"/>
        </w:rPr>
        <w:t xml:space="preserve">an </w:t>
      </w:r>
      <w:r w:rsidRPr="00D404E3">
        <w:rPr>
          <w:rFonts w:cs="Times New Roman"/>
          <w:szCs w:val="32"/>
          <w:u w:color="000000" w:themeColor="text1"/>
        </w:rPr>
        <w:t>agricultur</w:t>
      </w:r>
      <w:r>
        <w:rPr>
          <w:rFonts w:cs="Times New Roman"/>
          <w:szCs w:val="32"/>
          <w:u w:color="000000" w:themeColor="text1"/>
        </w:rPr>
        <w:t>al</w:t>
      </w:r>
      <w:r w:rsidRPr="00D404E3">
        <w:rPr>
          <w:rFonts w:cs="Times New Roman"/>
          <w:szCs w:val="32"/>
          <w:u w:color="000000" w:themeColor="text1"/>
        </w:rPr>
        <w:t xml:space="preserve"> background;</w:t>
      </w:r>
    </w:p>
    <w:p w14:paraId="0A0C2084"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r>
      <w:r w:rsidRPr="00D404E3">
        <w:rPr>
          <w:rFonts w:cs="Times New Roman"/>
          <w:szCs w:val="32"/>
          <w:u w:color="000000" w:themeColor="text1"/>
        </w:rPr>
        <w:tab/>
        <w:t>(5)</w:t>
      </w:r>
      <w:r w:rsidRPr="00D404E3">
        <w:rPr>
          <w:rFonts w:cs="Times New Roman"/>
          <w:szCs w:val="32"/>
          <w:u w:color="000000" w:themeColor="text1"/>
        </w:rPr>
        <w:tab/>
        <w:t>commodity trader who executes future trades related to a hedging program for purchases or sales of commodities regulated under this chapter;</w:t>
      </w:r>
    </w:p>
    <w:p w14:paraId="0E482C97"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r>
      <w:r w:rsidRPr="00D404E3">
        <w:rPr>
          <w:rFonts w:cs="Times New Roman"/>
          <w:szCs w:val="32"/>
          <w:u w:color="000000" w:themeColor="text1"/>
        </w:rPr>
        <w:tab/>
        <w:t>(6)</w:t>
      </w:r>
      <w:r w:rsidRPr="00D404E3">
        <w:rPr>
          <w:rFonts w:cs="Times New Roman"/>
          <w:szCs w:val="32"/>
          <w:u w:color="000000" w:themeColor="text1"/>
        </w:rPr>
        <w:tab/>
        <w:t>owner or operator of an elevator that handles agricultural commodities;</w:t>
      </w:r>
    </w:p>
    <w:p w14:paraId="01E35F05"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r>
      <w:r w:rsidRPr="00D404E3">
        <w:rPr>
          <w:rFonts w:cs="Times New Roman"/>
          <w:szCs w:val="32"/>
          <w:u w:color="000000" w:themeColor="text1"/>
        </w:rPr>
        <w:tab/>
        <w:t>(7)</w:t>
      </w:r>
      <w:r w:rsidRPr="00D404E3">
        <w:rPr>
          <w:rFonts w:cs="Times New Roman"/>
          <w:szCs w:val="32"/>
          <w:u w:color="000000" w:themeColor="text1"/>
        </w:rPr>
        <w:tab/>
        <w:t>owner or operator of an inland elevator or barge</w:t>
      </w:r>
      <w:r>
        <w:rPr>
          <w:rFonts w:cs="Times New Roman"/>
          <w:szCs w:val="32"/>
          <w:u w:color="000000" w:themeColor="text1"/>
        </w:rPr>
        <w:noBreakHyphen/>
      </w:r>
      <w:r w:rsidRPr="00D404E3">
        <w:rPr>
          <w:rFonts w:cs="Times New Roman"/>
          <w:szCs w:val="32"/>
          <w:u w:color="000000" w:themeColor="text1"/>
        </w:rPr>
        <w:t>loading river facility or a licensed South Carolina grain dealer upon the recommendation of the South Carolina Palmetto Agribusiness Council;</w:t>
      </w:r>
    </w:p>
    <w:p w14:paraId="0AC10535"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r>
      <w:r w:rsidRPr="00D404E3">
        <w:rPr>
          <w:rFonts w:cs="Times New Roman"/>
          <w:szCs w:val="32"/>
          <w:u w:color="000000" w:themeColor="text1"/>
        </w:rPr>
        <w:tab/>
        <w:t>(8)</w:t>
      </w:r>
      <w:r w:rsidRPr="00D404E3">
        <w:rPr>
          <w:rFonts w:cs="Times New Roman"/>
          <w:szCs w:val="32"/>
          <w:u w:color="000000" w:themeColor="text1"/>
        </w:rPr>
        <w:tab/>
        <w:t>producer appointed upon the recommendation of the South Carolina Poultry Federation;</w:t>
      </w:r>
    </w:p>
    <w:p w14:paraId="29F17330"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r>
      <w:r w:rsidRPr="00D404E3">
        <w:rPr>
          <w:rFonts w:cs="Times New Roman"/>
          <w:szCs w:val="32"/>
          <w:u w:color="000000" w:themeColor="text1"/>
        </w:rPr>
        <w:tab/>
        <w:t>(9)</w:t>
      </w:r>
      <w:r w:rsidRPr="00D404E3">
        <w:rPr>
          <w:rFonts w:cs="Times New Roman"/>
          <w:szCs w:val="32"/>
          <w:u w:color="000000" w:themeColor="text1"/>
        </w:rPr>
        <w:tab/>
        <w:t>cotton merchant appointed from the State at large; and</w:t>
      </w:r>
    </w:p>
    <w:p w14:paraId="2EDCB3FF"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u w:color="000000" w:themeColor="text1"/>
        </w:rPr>
        <w:tab/>
      </w:r>
      <w:r w:rsidRPr="00D404E3">
        <w:rPr>
          <w:rFonts w:cs="Times New Roman"/>
          <w:szCs w:val="32"/>
          <w:u w:color="000000" w:themeColor="text1"/>
        </w:rPr>
        <w:tab/>
        <w:t>(10)</w:t>
      </w:r>
      <w:r w:rsidRPr="00D404E3">
        <w:rPr>
          <w:rFonts w:cs="Times New Roman"/>
          <w:szCs w:val="32"/>
          <w:u w:color="000000" w:themeColor="text1"/>
        </w:rPr>
        <w:tab/>
        <w:t>cotton producer appointed upon the recommendation of the South Carolina Board of the Southern Cotton Growers, Inc.</w:t>
      </w:r>
    </w:p>
    <w:p w14:paraId="63F217BC"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(C)</w:t>
      </w:r>
      <w:r w:rsidRPr="00D404E3">
        <w:rPr>
          <w:rFonts w:cs="Times New Roman"/>
          <w:szCs w:val="32"/>
          <w:u w:color="000000" w:themeColor="text1"/>
        </w:rPr>
        <w:tab/>
        <w:t>The commissioner shall serve as chairman of the commission.</w:t>
      </w:r>
    </w:p>
    <w:p w14:paraId="5985848A"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(D)</w:t>
      </w:r>
      <w:r w:rsidRPr="00D404E3">
        <w:rPr>
          <w:rFonts w:cs="Times New Roman"/>
          <w:szCs w:val="32"/>
          <w:u w:color="000000" w:themeColor="text1"/>
        </w:rPr>
        <w:tab/>
        <w:t>Except as provided herein, vacancies shall be filled in the same manner as original appointments for the unexpired portion of the term. When a vacancy occurs, the organization authorized to make recommendations to the commissioner for an appointment to the vacant position shall make its recommendation to the commissioner within sixty days after the vacancy occurs. The commissioner shall then appoint a new member to fill the vacancy no later than sixty days after receiving the recommendation. If the commissioner fails to appoint a new member within sixty days, the Governor may appoint the new member. Members appointed by the Governor shall enjoy all of the powers, duties, rights, and privileges as members appointed by the commissioner. An appointment made by the Governor pursuant to this section may not be made pursuant to the provisions contained in Section 1</w:t>
      </w:r>
      <w:r>
        <w:rPr>
          <w:rFonts w:cs="Times New Roman"/>
          <w:szCs w:val="32"/>
          <w:u w:color="000000" w:themeColor="text1"/>
        </w:rPr>
        <w:noBreakHyphen/>
      </w:r>
      <w:r w:rsidRPr="00D404E3">
        <w:rPr>
          <w:rFonts w:cs="Times New Roman"/>
          <w:szCs w:val="32"/>
          <w:u w:color="000000" w:themeColor="text1"/>
        </w:rPr>
        <w:t>3</w:t>
      </w:r>
      <w:r>
        <w:rPr>
          <w:rFonts w:cs="Times New Roman"/>
          <w:szCs w:val="32"/>
          <w:u w:color="000000" w:themeColor="text1"/>
        </w:rPr>
        <w:noBreakHyphen/>
      </w:r>
      <w:r w:rsidRPr="00D404E3">
        <w:rPr>
          <w:rFonts w:cs="Times New Roman"/>
          <w:szCs w:val="32"/>
          <w:u w:color="000000" w:themeColor="text1"/>
        </w:rPr>
        <w:t>210.</w:t>
      </w:r>
    </w:p>
    <w:p w14:paraId="723A803D"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(E)</w:t>
      </w:r>
      <w:r w:rsidRPr="00D404E3">
        <w:rPr>
          <w:rFonts w:cs="Times New Roman"/>
          <w:szCs w:val="32"/>
          <w:u w:color="000000" w:themeColor="text1"/>
        </w:rPr>
        <w:tab/>
        <w:t xml:space="preserve">The commission shall meet four times per calendar year but may meet more frequently upon the call of the chairman. Five members shall constitute a quorum for the transaction of official business. All official actions of the commission shall require the affirmative vote of five members of the commission. Appointed members of the commission </w:t>
      </w:r>
      <w:r w:rsidRPr="00D404E3">
        <w:rPr>
          <w:rFonts w:cs="Times New Roman"/>
          <w:szCs w:val="32"/>
          <w:u w:color="000000" w:themeColor="text1"/>
        </w:rPr>
        <w:lastRenderedPageBreak/>
        <w:t>shall be entitled to receive a per diem not in excess of forty dollars and to be reimbursed for mileage expenses in accordance with the same travel regulations applying to state employees.”</w:t>
      </w:r>
    </w:p>
    <w:p w14:paraId="4956A9C2"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14:paraId="1CBB4C39"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32"/>
          <w:u w:color="000000" w:themeColor="text1"/>
        </w:rPr>
      </w:pPr>
      <w:r>
        <w:rPr>
          <w:rFonts w:cs="Times New Roman"/>
          <w:b/>
          <w:bCs/>
          <w:szCs w:val="32"/>
          <w:u w:color="000000" w:themeColor="text1"/>
        </w:rPr>
        <w:t>Bond or equivalent security</w:t>
      </w:r>
    </w:p>
    <w:p w14:paraId="5867EAE4" w14:textId="77777777" w:rsidR="0014201F" w:rsidRPr="00126B90"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32"/>
          <w:u w:color="000000" w:themeColor="text1"/>
        </w:rPr>
      </w:pPr>
    </w:p>
    <w:p w14:paraId="25AB11E9"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SECTION</w:t>
      </w:r>
      <w:r w:rsidRPr="00D404E3">
        <w:rPr>
          <w:rFonts w:cs="Times New Roman"/>
          <w:szCs w:val="32"/>
          <w:u w:color="000000" w:themeColor="text1"/>
        </w:rPr>
        <w:tab/>
        <w:t>2.</w:t>
      </w:r>
      <w:r w:rsidRPr="00D404E3">
        <w:rPr>
          <w:rFonts w:cs="Times New Roman"/>
          <w:szCs w:val="32"/>
          <w:u w:color="000000" w:themeColor="text1"/>
        </w:rPr>
        <w:tab/>
        <w:t>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u w:color="000000" w:themeColor="text1"/>
        </w:rPr>
        <w:t>60 of the 1976 Code is amended to read:</w:t>
      </w:r>
    </w:p>
    <w:p w14:paraId="2EDACC65"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14:paraId="1AE013BD"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rPr>
        <w:t>60</w:t>
      </w:r>
      <w:r w:rsidRPr="00D404E3">
        <w:rPr>
          <w:rFonts w:cs="Times New Roman"/>
          <w:szCs w:val="32"/>
          <w:u w:color="000000" w:themeColor="text1"/>
        </w:rPr>
        <w:t>.</w:t>
      </w:r>
      <w:r w:rsidRPr="00D404E3">
        <w:rPr>
          <w:rFonts w:cs="Times New Roman"/>
          <w:szCs w:val="32"/>
          <w:u w:color="000000" w:themeColor="text1"/>
        </w:rPr>
        <w:tab/>
        <w:t>(A)</w:t>
      </w:r>
      <w:r w:rsidRPr="00D404E3">
        <w:rPr>
          <w:rFonts w:cs="Times New Roman"/>
          <w:szCs w:val="32"/>
          <w:u w:color="000000" w:themeColor="text1"/>
        </w:rPr>
        <w:tab/>
        <w:t>Before any license shall be issued the applicant shall make and deliver to the commissioner a surety bond or equivalent security in an amount of either twenty</w:t>
      </w:r>
      <w:r>
        <w:rPr>
          <w:rFonts w:cs="Times New Roman"/>
          <w:szCs w:val="32"/>
          <w:u w:color="000000" w:themeColor="text1"/>
        </w:rPr>
        <w:noBreakHyphen/>
      </w:r>
      <w:r w:rsidRPr="00D404E3">
        <w:rPr>
          <w:rFonts w:cs="Times New Roman"/>
          <w:szCs w:val="32"/>
          <w:u w:color="000000" w:themeColor="text1"/>
        </w:rPr>
        <w:t>five thousand, fifty thousand, or one hundred thousand dollars as determined by the method set forth below, executed by a surety corporation authorized to transact business in the State or provided by equivalent security approved by the commissioner with the advice of the State Treasurer. The amount of the bond required is determined based upon ten percent of the applicant</w:t>
      </w:r>
      <w:r>
        <w:rPr>
          <w:rFonts w:cs="Times New Roman"/>
          <w:szCs w:val="32"/>
          <w:u w:color="000000" w:themeColor="text1"/>
        </w:rPr>
        <w:t>’</w:t>
      </w:r>
      <w:r w:rsidRPr="00D404E3">
        <w:rPr>
          <w:rFonts w:cs="Times New Roman"/>
          <w:szCs w:val="32"/>
          <w:u w:color="000000" w:themeColor="text1"/>
        </w:rPr>
        <w:t>s annual business. If ten percent of annual business is twenty</w:t>
      </w:r>
      <w:r>
        <w:rPr>
          <w:rFonts w:cs="Times New Roman"/>
          <w:szCs w:val="32"/>
          <w:u w:color="000000" w:themeColor="text1"/>
        </w:rPr>
        <w:noBreakHyphen/>
      </w:r>
      <w:r w:rsidRPr="00D404E3">
        <w:rPr>
          <w:rFonts w:cs="Times New Roman"/>
          <w:szCs w:val="32"/>
          <w:u w:color="000000" w:themeColor="text1"/>
        </w:rPr>
        <w:t>five thousand dollars or less, the applicant must obtain a twenty</w:t>
      </w:r>
      <w:r>
        <w:rPr>
          <w:rFonts w:cs="Times New Roman"/>
          <w:szCs w:val="32"/>
          <w:u w:color="000000" w:themeColor="text1"/>
        </w:rPr>
        <w:noBreakHyphen/>
      </w:r>
      <w:r w:rsidRPr="00D404E3">
        <w:rPr>
          <w:rFonts w:cs="Times New Roman"/>
          <w:szCs w:val="32"/>
          <w:u w:color="000000" w:themeColor="text1"/>
        </w:rPr>
        <w:t>five thousand dollar bond. If ten percent of annual business is fifty thousand dollars or less, a fifty thousand dollar bond is required. If ten percent of annual business is more than fifty thousand dollars, a one hundred thousand dollar bond is required.  The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w:t>
      </w:r>
    </w:p>
    <w:p w14:paraId="2161F35B"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(B)</w:t>
      </w:r>
      <w:r w:rsidRPr="00D404E3">
        <w:rPr>
          <w:rFonts w:cs="Times New Roman"/>
          <w:szCs w:val="32"/>
          <w:u w:color="000000" w:themeColor="text1"/>
        </w:rPr>
        <w:tab/>
        <w:t>The amount of the bond or equivalent security shall, upon the order of the commissioner at any time, be increased, if in his discretion the commissioner finds that an increase is warranted by the volume of agricultural product being handled by the principal or maker of the bond or equivalent security. In the same manner, the amount of the bond or equivalent security may be decreased when a decrease in volume of products handled warrants such decrease in bond or equivalent</w:t>
      </w:r>
      <w:r w:rsidRPr="00D404E3">
        <w:rPr>
          <w:rFonts w:cs="Times New Roman"/>
          <w:u w:color="000000" w:themeColor="text1"/>
        </w:rPr>
        <w:t xml:space="preserve"> </w:t>
      </w:r>
      <w:r w:rsidRPr="00D404E3">
        <w:rPr>
          <w:rFonts w:cs="Times New Roman"/>
          <w:szCs w:val="32"/>
          <w:u w:color="000000" w:themeColor="text1"/>
        </w:rPr>
        <w:t>security. The provisions contained in this section shall apply to any bond or equivalent security, regardless of the anniversary date of its issuance, expiration, or renewal.</w:t>
      </w:r>
    </w:p>
    <w:p w14:paraId="45C1BEA7"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(C)</w:t>
      </w:r>
      <w:r w:rsidRPr="00D404E3">
        <w:rPr>
          <w:rFonts w:cs="Times New Roman"/>
          <w:szCs w:val="32"/>
          <w:u w:color="000000" w:themeColor="text1"/>
        </w:rPr>
        <w:tab/>
        <w:t>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w:t>
      </w:r>
    </w:p>
    <w:p w14:paraId="34BBE948"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14:paraId="27F1361D"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32"/>
          <w:u w:color="000000" w:themeColor="text1"/>
        </w:rPr>
      </w:pPr>
      <w:r>
        <w:rPr>
          <w:rFonts w:cs="Times New Roman"/>
          <w:b/>
          <w:bCs/>
          <w:szCs w:val="32"/>
          <w:u w:color="000000" w:themeColor="text1"/>
        </w:rPr>
        <w:t>Penalty</w:t>
      </w:r>
    </w:p>
    <w:p w14:paraId="6BB5D0E5" w14:textId="77777777" w:rsidR="0014201F" w:rsidRPr="00126B90"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32"/>
          <w:u w:color="000000" w:themeColor="text1"/>
        </w:rPr>
      </w:pPr>
    </w:p>
    <w:p w14:paraId="391BE3A4"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SECTION</w:t>
      </w:r>
      <w:r w:rsidRPr="00D404E3">
        <w:rPr>
          <w:rFonts w:cs="Times New Roman"/>
          <w:szCs w:val="32"/>
          <w:u w:color="000000" w:themeColor="text1"/>
        </w:rPr>
        <w:tab/>
        <w:t>3.</w:t>
      </w:r>
      <w:r w:rsidRPr="00D404E3">
        <w:rPr>
          <w:rFonts w:cs="Times New Roman"/>
          <w:szCs w:val="32"/>
          <w:u w:color="000000" w:themeColor="text1"/>
        </w:rPr>
        <w:tab/>
        <w:t>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u w:color="000000" w:themeColor="text1"/>
        </w:rPr>
        <w:t>170 of the 1976 Code is amended to read:</w:t>
      </w:r>
    </w:p>
    <w:p w14:paraId="7DF8ED8E"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14:paraId="51BE5EC4"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“Section 46</w:t>
      </w:r>
      <w:r>
        <w:rPr>
          <w:rFonts w:cs="Times New Roman"/>
          <w:szCs w:val="32"/>
          <w:u w:color="000000" w:themeColor="text1"/>
        </w:rPr>
        <w:noBreakHyphen/>
      </w:r>
      <w:r w:rsidRPr="00D404E3">
        <w:rPr>
          <w:rFonts w:cs="Times New Roman"/>
          <w:szCs w:val="32"/>
          <w:u w:color="000000" w:themeColor="text1"/>
        </w:rPr>
        <w:t>41</w:t>
      </w:r>
      <w:r>
        <w:rPr>
          <w:rFonts w:cs="Times New Roman"/>
          <w:szCs w:val="32"/>
          <w:u w:color="000000" w:themeColor="text1"/>
        </w:rPr>
        <w:noBreakHyphen/>
      </w:r>
      <w:r w:rsidRPr="00D404E3">
        <w:rPr>
          <w:rFonts w:cs="Times New Roman"/>
          <w:szCs w:val="32"/>
          <w:u w:color="000000" w:themeColor="text1"/>
        </w:rPr>
        <w:t>170.</w:t>
      </w:r>
      <w:r w:rsidRPr="00D404E3">
        <w:rPr>
          <w:rFonts w:cs="Times New Roman"/>
          <w:szCs w:val="32"/>
          <w:u w:color="000000" w:themeColor="text1"/>
        </w:rPr>
        <w:tab/>
        <w:t>(A)</w:t>
      </w:r>
      <w:r w:rsidRPr="00D404E3">
        <w:rPr>
          <w:rFonts w:cs="Times New Roman"/>
          <w:szCs w:val="32"/>
          <w:u w:color="000000" w:themeColor="text1"/>
        </w:rPr>
        <w:tab/>
        <w:t>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w:t>
      </w:r>
      <w:r w:rsidRPr="00D404E3">
        <w:rPr>
          <w:rFonts w:cs="Times New Roman"/>
          <w:u w:color="000000" w:themeColor="text1"/>
        </w:rPr>
        <w:t xml:space="preserve"> </w:t>
      </w:r>
      <w:r w:rsidRPr="00D404E3">
        <w:rPr>
          <w:rFonts w:cs="Times New Roman"/>
          <w:szCs w:val="32"/>
          <w:u w:color="000000" w:themeColor="text1"/>
        </w:rPr>
        <w:t>second or subsequent offense shall, upon conviction, be fined not less than three thousand dollars or imprisoned not exceeding one year, or both in the discretion of the court.</w:t>
      </w:r>
    </w:p>
    <w:p w14:paraId="0F465A8D"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(B)</w:t>
      </w:r>
      <w:r w:rsidRPr="00D404E3">
        <w:rPr>
          <w:rFonts w:cs="Times New Roman"/>
          <w:szCs w:val="32"/>
          <w:u w:color="000000" w:themeColor="text1"/>
        </w:rPr>
        <w:tab/>
        <w:t>In addition to the remedies provided in this chapter and notwithstanding the existence of any adequate remedy at law, the commissioner is authorized to make application for injunction to a circuit court and the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p>
    <w:p w14:paraId="190C826E"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(C)</w:t>
      </w:r>
      <w:r w:rsidRPr="00D404E3">
        <w:rPr>
          <w:rFonts w:cs="Times New Roman"/>
          <w:szCs w:val="32"/>
          <w:u w:color="000000" w:themeColor="text1"/>
        </w:rPr>
        <w:tab/>
        <w:t>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and Cotton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w:t>
      </w:r>
    </w:p>
    <w:p w14:paraId="0FF47A13"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14:paraId="30FBE2A6"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32"/>
          <w:u w:color="000000" w:themeColor="text1"/>
        </w:rPr>
      </w:pPr>
      <w:r>
        <w:rPr>
          <w:rFonts w:cs="Times New Roman"/>
          <w:b/>
          <w:bCs/>
          <w:szCs w:val="32"/>
          <w:u w:color="000000" w:themeColor="text1"/>
        </w:rPr>
        <w:t>Insurance Reserve Fund</w:t>
      </w:r>
    </w:p>
    <w:p w14:paraId="4A32D98A" w14:textId="77777777" w:rsidR="0014201F" w:rsidRPr="00126B90"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32"/>
          <w:u w:color="000000" w:themeColor="text1"/>
        </w:rPr>
      </w:pPr>
    </w:p>
    <w:p w14:paraId="1BD057CE"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SECTION</w:t>
      </w:r>
      <w:r w:rsidRPr="00D404E3">
        <w:rPr>
          <w:rFonts w:cs="Times New Roman"/>
          <w:szCs w:val="32"/>
          <w:u w:color="000000" w:themeColor="text1"/>
        </w:rPr>
        <w:tab/>
        <w:t>4.</w:t>
      </w:r>
      <w:r w:rsidRPr="00D404E3">
        <w:rPr>
          <w:rFonts w:cs="Times New Roman"/>
          <w:szCs w:val="32"/>
          <w:u w:color="000000" w:themeColor="text1"/>
        </w:rPr>
        <w:tab/>
        <w:t>(A)</w:t>
      </w:r>
      <w:r w:rsidRPr="00D404E3">
        <w:rPr>
          <w:rFonts w:cs="Times New Roman"/>
          <w:szCs w:val="32"/>
          <w:u w:color="000000" w:themeColor="text1"/>
        </w:rPr>
        <w:tab/>
        <w:t>The Insurance Reserve Fund of the State Fiscal Accountability Authority is authorized to lend an amount up to four million dollars on a one</w:t>
      </w:r>
      <w:r>
        <w:rPr>
          <w:rFonts w:cs="Times New Roman"/>
          <w:szCs w:val="32"/>
          <w:u w:color="000000" w:themeColor="text1"/>
        </w:rPr>
        <w:noBreakHyphen/>
      </w:r>
      <w:r w:rsidRPr="00D404E3">
        <w:rPr>
          <w:rFonts w:cs="Times New Roman"/>
          <w:szCs w:val="32"/>
          <w:u w:color="000000" w:themeColor="text1"/>
        </w:rPr>
        <w:t xml:space="preserve">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 the loan in five annual installments with </w:t>
      </w:r>
      <w:r w:rsidRPr="00D404E3">
        <w:rPr>
          <w:rFonts w:cs="Times New Roman"/>
          <w:szCs w:val="32"/>
          <w:u w:color="000000" w:themeColor="text1"/>
        </w:rPr>
        <w:lastRenderedPageBreak/>
        <w:t>interest at the rate provided in Section 34</w:t>
      </w:r>
      <w:r>
        <w:rPr>
          <w:rFonts w:cs="Times New Roman"/>
          <w:szCs w:val="32"/>
          <w:u w:color="000000" w:themeColor="text1"/>
        </w:rPr>
        <w:noBreakHyphen/>
      </w:r>
      <w:r w:rsidRPr="00D404E3">
        <w:rPr>
          <w:rFonts w:cs="Times New Roman"/>
          <w:szCs w:val="32"/>
          <w:u w:color="000000" w:themeColor="text1"/>
        </w:rPr>
        <w:t>31</w:t>
      </w:r>
      <w:r>
        <w:rPr>
          <w:rFonts w:cs="Times New Roman"/>
          <w:szCs w:val="32"/>
          <w:u w:color="000000" w:themeColor="text1"/>
        </w:rPr>
        <w:noBreakHyphen/>
      </w:r>
      <w:r w:rsidRPr="00D404E3">
        <w:rPr>
          <w:rFonts w:cs="Times New Roman"/>
          <w:szCs w:val="32"/>
          <w:u w:color="000000" w:themeColor="text1"/>
        </w:rPr>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14:paraId="22C5370E"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r w:rsidRPr="00D404E3">
        <w:rPr>
          <w:rFonts w:cs="Times New Roman"/>
          <w:szCs w:val="32"/>
          <w:u w:color="000000" w:themeColor="text1"/>
        </w:rPr>
        <w:tab/>
        <w:t>(B)</w:t>
      </w:r>
      <w:r w:rsidRPr="00D404E3">
        <w:rPr>
          <w:rFonts w:cs="Times New Roman"/>
          <w:szCs w:val="32"/>
          <w:u w:color="000000" w:themeColor="text1"/>
        </w:rPr>
        <w:tab/>
        <w:t>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14:paraId="02DDD6ED"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2"/>
          <w:u w:color="000000" w:themeColor="text1"/>
        </w:rPr>
      </w:pPr>
    </w:p>
    <w:p w14:paraId="138AF67A"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32"/>
          <w:u w:color="000000" w:themeColor="text1"/>
        </w:rPr>
      </w:pPr>
      <w:r>
        <w:rPr>
          <w:rFonts w:cs="Times New Roman"/>
          <w:b/>
          <w:bCs/>
          <w:szCs w:val="32"/>
          <w:u w:color="000000" w:themeColor="text1"/>
        </w:rPr>
        <w:t>Time effective</w:t>
      </w:r>
    </w:p>
    <w:p w14:paraId="551E5886" w14:textId="77777777" w:rsidR="0014201F" w:rsidRPr="00E0582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32"/>
          <w:u w:color="000000" w:themeColor="text1"/>
        </w:rPr>
      </w:pPr>
    </w:p>
    <w:p w14:paraId="0836F1FD" w14:textId="77777777" w:rsidR="0014201F" w:rsidRPr="00D404E3"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04E3">
        <w:rPr>
          <w:rFonts w:cs="Times New Roman"/>
          <w:szCs w:val="32"/>
          <w:u w:color="000000" w:themeColor="text1"/>
        </w:rPr>
        <w:t>SECTION</w:t>
      </w:r>
      <w:r w:rsidRPr="00D404E3">
        <w:rPr>
          <w:rFonts w:cs="Times New Roman"/>
          <w:szCs w:val="32"/>
          <w:u w:color="000000" w:themeColor="text1"/>
        </w:rPr>
        <w:tab/>
        <w:t>5.</w:t>
      </w:r>
      <w:r w:rsidRPr="00D404E3">
        <w:rPr>
          <w:rFonts w:cs="Times New Roman"/>
          <w:szCs w:val="32"/>
          <w:u w:color="000000" w:themeColor="text1"/>
        </w:rPr>
        <w:tab/>
        <w:t>This act takes effect upon the approval of the Governor.</w:t>
      </w:r>
    </w:p>
    <w:p w14:paraId="3EEE1A34"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4F700592" w14:textId="77777777" w:rsidR="0014201F" w:rsidRDefault="0014201F"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17929339" w14:textId="77777777" w:rsidR="0014201F" w:rsidRDefault="0014201F" w:rsidP="0014201F">
      <w:pPr>
        <w:jc w:val="both"/>
        <w:rPr>
          <w:color w:val="000000" w:themeColor="text1"/>
        </w:rPr>
      </w:pPr>
    </w:p>
    <w:p w14:paraId="6D26BBBC" w14:textId="77777777" w:rsidR="0014201F" w:rsidRDefault="0014201F" w:rsidP="0014201F">
      <w:pPr>
        <w:jc w:val="both"/>
        <w:rPr>
          <w:color w:val="000000" w:themeColor="text1"/>
        </w:rPr>
      </w:pPr>
      <w:r>
        <w:rPr>
          <w:color w:val="000000" w:themeColor="text1"/>
        </w:rPr>
        <w:t>Approved the 16</w:t>
      </w:r>
      <w:r w:rsidRPr="00721C7C">
        <w:rPr>
          <w:color w:val="000000" w:themeColor="text1"/>
          <w:vertAlign w:val="superscript"/>
        </w:rPr>
        <w:t>th</w:t>
      </w:r>
      <w:r>
        <w:rPr>
          <w:color w:val="000000" w:themeColor="text1"/>
        </w:rPr>
        <w:t xml:space="preserve"> day of May, 2022. </w:t>
      </w:r>
    </w:p>
    <w:p w14:paraId="01FD06D3" w14:textId="77777777" w:rsidR="0014201F" w:rsidRDefault="0014201F" w:rsidP="0014201F">
      <w:pPr>
        <w:jc w:val="center"/>
        <w:rPr>
          <w:color w:val="000000" w:themeColor="text1"/>
        </w:rPr>
      </w:pPr>
    </w:p>
    <w:p w14:paraId="62FB72F0" w14:textId="77777777" w:rsidR="0014201F" w:rsidRDefault="0014201F" w:rsidP="0014201F">
      <w:pPr>
        <w:jc w:val="center"/>
        <w:rPr>
          <w:color w:val="000000" w:themeColor="text1"/>
        </w:rPr>
      </w:pPr>
      <w:r>
        <w:rPr>
          <w:color w:val="000000" w:themeColor="text1"/>
        </w:rPr>
        <w:t>__________</w:t>
      </w:r>
    </w:p>
    <w:p w14:paraId="3788C6B7" w14:textId="77777777" w:rsidR="00FB7C39" w:rsidRPr="00EA4181" w:rsidRDefault="00FB7C39" w:rsidP="00142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B7C39" w:rsidRPr="00EA4181" w:rsidSect="00FB7C39">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D7836" w14:textId="77777777" w:rsidR="00C25FC4" w:rsidRDefault="00C25FC4" w:rsidP="007D5FAC">
      <w:r>
        <w:separator/>
      </w:r>
    </w:p>
  </w:endnote>
  <w:endnote w:type="continuationSeparator" w:id="0">
    <w:p w14:paraId="71A7EE6F" w14:textId="77777777" w:rsidR="00C25FC4" w:rsidRDefault="00C25FC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ACE08" w14:textId="52CB83D7" w:rsidR="00FB7C39" w:rsidRPr="00FB7C39" w:rsidRDefault="00FB7C39" w:rsidP="00FB7C3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4201F">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21C20" w14:textId="77777777" w:rsidR="00FB7C39" w:rsidRDefault="00FB7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E5433" w14:textId="77777777" w:rsidR="00C25FC4" w:rsidRDefault="00C25FC4" w:rsidP="007D5FAC">
      <w:r>
        <w:separator/>
      </w:r>
    </w:p>
  </w:footnote>
  <w:footnote w:type="continuationSeparator" w:id="0">
    <w:p w14:paraId="2549F5BD" w14:textId="77777777" w:rsidR="00C25FC4" w:rsidRDefault="00C25FC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1117"/>
    <w:docVar w:name="ActSecretary" w:val="Thurmond"/>
    <w:docVar w:name="ActSIdno" w:val="(207)  1117CM22"/>
    <w:docVar w:name="clipname" w:val="1117CM22"/>
    <w:docVar w:name="dvBillNumber" w:val="1117"/>
    <w:docVar w:name="dvBillNumberPrefix" w:val="S"/>
    <w:docVar w:name="dvOriginalBody" w:val="Senate"/>
    <w:docVar w:name="OrigSENATEBillNo" w:val="1117"/>
    <w:docVar w:name="SENATEACTFULLPATH" w:val="L:\COUNCIL\ACTS\1117CM22.DOCX"/>
    <w:docVar w:name="WhatActtype" w:val="AN ACT"/>
  </w:docVars>
  <w:rsids>
    <w:rsidRoot w:val="00C25FC4"/>
    <w:rsid w:val="00002DE0"/>
    <w:rsid w:val="00017F29"/>
    <w:rsid w:val="00020349"/>
    <w:rsid w:val="00021B0B"/>
    <w:rsid w:val="00030487"/>
    <w:rsid w:val="0003419C"/>
    <w:rsid w:val="00040C05"/>
    <w:rsid w:val="0004579B"/>
    <w:rsid w:val="00051B4F"/>
    <w:rsid w:val="00055653"/>
    <w:rsid w:val="000562FC"/>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26B90"/>
    <w:rsid w:val="00131CE5"/>
    <w:rsid w:val="00134FF6"/>
    <w:rsid w:val="00135DDF"/>
    <w:rsid w:val="00136AA0"/>
    <w:rsid w:val="00141278"/>
    <w:rsid w:val="0014201F"/>
    <w:rsid w:val="00142C49"/>
    <w:rsid w:val="0014525A"/>
    <w:rsid w:val="001519E2"/>
    <w:rsid w:val="001626DB"/>
    <w:rsid w:val="001631AF"/>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01C7"/>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0CCB"/>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0C45"/>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3C7"/>
    <w:rsid w:val="005839FC"/>
    <w:rsid w:val="00583CB3"/>
    <w:rsid w:val="00584727"/>
    <w:rsid w:val="005859EE"/>
    <w:rsid w:val="00590D1D"/>
    <w:rsid w:val="00591D7C"/>
    <w:rsid w:val="00594D39"/>
    <w:rsid w:val="005A1FF2"/>
    <w:rsid w:val="005A286C"/>
    <w:rsid w:val="005A7D5F"/>
    <w:rsid w:val="005B2750"/>
    <w:rsid w:val="005B2DD9"/>
    <w:rsid w:val="005B3E85"/>
    <w:rsid w:val="005B4DB1"/>
    <w:rsid w:val="005C4B9E"/>
    <w:rsid w:val="005C5915"/>
    <w:rsid w:val="005D2669"/>
    <w:rsid w:val="005D33E7"/>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654E6"/>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200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4DC"/>
    <w:rsid w:val="007469F9"/>
    <w:rsid w:val="0074783A"/>
    <w:rsid w:val="007514EF"/>
    <w:rsid w:val="00754926"/>
    <w:rsid w:val="00764BFB"/>
    <w:rsid w:val="00765D0A"/>
    <w:rsid w:val="007664A2"/>
    <w:rsid w:val="007746C2"/>
    <w:rsid w:val="00775216"/>
    <w:rsid w:val="00775B87"/>
    <w:rsid w:val="00775BC6"/>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1D66"/>
    <w:rsid w:val="00892AF7"/>
    <w:rsid w:val="008A3C50"/>
    <w:rsid w:val="008B2051"/>
    <w:rsid w:val="008B3E9E"/>
    <w:rsid w:val="008B48BD"/>
    <w:rsid w:val="008B552D"/>
    <w:rsid w:val="008C325E"/>
    <w:rsid w:val="008D1258"/>
    <w:rsid w:val="008E03BA"/>
    <w:rsid w:val="008E1BCF"/>
    <w:rsid w:val="008E4875"/>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5BD9"/>
    <w:rsid w:val="009D6A6B"/>
    <w:rsid w:val="009D75E7"/>
    <w:rsid w:val="009E523B"/>
    <w:rsid w:val="009E7104"/>
    <w:rsid w:val="009F42DA"/>
    <w:rsid w:val="00A03978"/>
    <w:rsid w:val="00A050C0"/>
    <w:rsid w:val="00A062DB"/>
    <w:rsid w:val="00A14F94"/>
    <w:rsid w:val="00A22884"/>
    <w:rsid w:val="00A23CED"/>
    <w:rsid w:val="00A25110"/>
    <w:rsid w:val="00A25E64"/>
    <w:rsid w:val="00A26387"/>
    <w:rsid w:val="00A3022E"/>
    <w:rsid w:val="00A37F24"/>
    <w:rsid w:val="00A42241"/>
    <w:rsid w:val="00A450A2"/>
    <w:rsid w:val="00A46627"/>
    <w:rsid w:val="00A475E8"/>
    <w:rsid w:val="00A512E6"/>
    <w:rsid w:val="00A604FA"/>
    <w:rsid w:val="00A61397"/>
    <w:rsid w:val="00A62F8F"/>
    <w:rsid w:val="00A64E80"/>
    <w:rsid w:val="00A73974"/>
    <w:rsid w:val="00A74007"/>
    <w:rsid w:val="00A94134"/>
    <w:rsid w:val="00A96A62"/>
    <w:rsid w:val="00A9741D"/>
    <w:rsid w:val="00A9744F"/>
    <w:rsid w:val="00AA08B0"/>
    <w:rsid w:val="00AA2EF0"/>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1C11"/>
    <w:rsid w:val="00B4797F"/>
    <w:rsid w:val="00B516BA"/>
    <w:rsid w:val="00B520A2"/>
    <w:rsid w:val="00B62CAB"/>
    <w:rsid w:val="00B72564"/>
    <w:rsid w:val="00B72ED3"/>
    <w:rsid w:val="00B73571"/>
    <w:rsid w:val="00B74177"/>
    <w:rsid w:val="00B80A34"/>
    <w:rsid w:val="00B83DA1"/>
    <w:rsid w:val="00B846E9"/>
    <w:rsid w:val="00BA2781"/>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25FC4"/>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40D7"/>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6501"/>
    <w:rsid w:val="00DA77C1"/>
    <w:rsid w:val="00DB01BE"/>
    <w:rsid w:val="00DB1297"/>
    <w:rsid w:val="00DC093F"/>
    <w:rsid w:val="00DC6CFE"/>
    <w:rsid w:val="00DC7BA4"/>
    <w:rsid w:val="00DD198F"/>
    <w:rsid w:val="00DD2595"/>
    <w:rsid w:val="00DD314B"/>
    <w:rsid w:val="00DD3B8D"/>
    <w:rsid w:val="00DD5167"/>
    <w:rsid w:val="00DD557D"/>
    <w:rsid w:val="00DD68E3"/>
    <w:rsid w:val="00DE2D21"/>
    <w:rsid w:val="00DE4F89"/>
    <w:rsid w:val="00DF0E69"/>
    <w:rsid w:val="00E00FC9"/>
    <w:rsid w:val="00E02CA8"/>
    <w:rsid w:val="00E0582F"/>
    <w:rsid w:val="00E076BB"/>
    <w:rsid w:val="00E14905"/>
    <w:rsid w:val="00E176C6"/>
    <w:rsid w:val="00E3356F"/>
    <w:rsid w:val="00E33964"/>
    <w:rsid w:val="00E3462F"/>
    <w:rsid w:val="00E36231"/>
    <w:rsid w:val="00E500F1"/>
    <w:rsid w:val="00E5358E"/>
    <w:rsid w:val="00E5665F"/>
    <w:rsid w:val="00E60357"/>
    <w:rsid w:val="00E614B9"/>
    <w:rsid w:val="00E61B4C"/>
    <w:rsid w:val="00E6489F"/>
    <w:rsid w:val="00E657E7"/>
    <w:rsid w:val="00E71D4E"/>
    <w:rsid w:val="00E757F4"/>
    <w:rsid w:val="00E83E07"/>
    <w:rsid w:val="00E9303D"/>
    <w:rsid w:val="00EA03FD"/>
    <w:rsid w:val="00EA2A3A"/>
    <w:rsid w:val="00EA4181"/>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0EA6"/>
    <w:rsid w:val="00FA1013"/>
    <w:rsid w:val="00FA7E14"/>
    <w:rsid w:val="00FB1A6A"/>
    <w:rsid w:val="00FB471B"/>
    <w:rsid w:val="00FB7C39"/>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40E36"/>
  <w15:docId w15:val="{1B200BDE-F783-41A5-A394-799811E0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B7C3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604F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B7C3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A08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15.docx" TargetMode="External"/><Relationship Id="rId13" Type="http://schemas.openxmlformats.org/officeDocument/2006/relationships/hyperlink" Target="file:///h:\hj\20220329.docx" TargetMode="External"/><Relationship Id="rId18" Type="http://schemas.openxmlformats.org/officeDocument/2006/relationships/hyperlink" Target="file:///h:\hj\20220504.docx" TargetMode="External"/><Relationship Id="rId26" Type="http://schemas.openxmlformats.org/officeDocument/2006/relationships/hyperlink" Target="file:///p:\pprever\2021-22\1117_20220427.docx" TargetMode="External"/><Relationship Id="rId3" Type="http://schemas.openxmlformats.org/officeDocument/2006/relationships/webSettings" Target="webSettings.xml"/><Relationship Id="rId21" Type="http://schemas.openxmlformats.org/officeDocument/2006/relationships/hyperlink" Target="file:///h:\sj\20220512.docx" TargetMode="External"/><Relationship Id="rId34" Type="http://schemas.openxmlformats.org/officeDocument/2006/relationships/theme" Target="theme/theme1.xml"/><Relationship Id="rId7" Type="http://schemas.openxmlformats.org/officeDocument/2006/relationships/hyperlink" Target="file:///h:\sj\20220302.docx" TargetMode="External"/><Relationship Id="rId12" Type="http://schemas.openxmlformats.org/officeDocument/2006/relationships/hyperlink" Target="file:///h:\hj\20220329.docx" TargetMode="External"/><Relationship Id="rId17" Type="http://schemas.openxmlformats.org/officeDocument/2006/relationships/hyperlink" Target="file:///h:\hj\20220503.docx" TargetMode="External"/><Relationship Id="rId25" Type="http://schemas.openxmlformats.org/officeDocument/2006/relationships/hyperlink" Target="file:///p:\pprever\2021-22\1117_20220316.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20503.docx" TargetMode="External"/><Relationship Id="rId20" Type="http://schemas.openxmlformats.org/officeDocument/2006/relationships/hyperlink" Target="file:///h:\sj\20220505.docx" TargetMode="External"/><Relationship Id="rId29" Type="http://schemas.openxmlformats.org/officeDocument/2006/relationships/hyperlink" Target="file:///p:\pprever\2021-22\1117_20220503.docx" TargetMode="External"/><Relationship Id="rId1" Type="http://schemas.openxmlformats.org/officeDocument/2006/relationships/styles" Target="styles.xml"/><Relationship Id="rId6" Type="http://schemas.openxmlformats.org/officeDocument/2006/relationships/hyperlink" Target="file:///h:\sj\20220302.docx" TargetMode="External"/><Relationship Id="rId11" Type="http://schemas.openxmlformats.org/officeDocument/2006/relationships/hyperlink" Target="file:///h:\sj\20220322.docx" TargetMode="External"/><Relationship Id="rId24" Type="http://schemas.openxmlformats.org/officeDocument/2006/relationships/hyperlink" Target="file:///p:\pprever\2021-22\1117_20220315.docx"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20503.docx" TargetMode="External"/><Relationship Id="rId23" Type="http://schemas.openxmlformats.org/officeDocument/2006/relationships/hyperlink" Target="file:///p:\pprever\2021-22\1117_20220302.docx" TargetMode="External"/><Relationship Id="rId28" Type="http://schemas.openxmlformats.org/officeDocument/2006/relationships/hyperlink" Target="file:///p:\pprever\2021-22\1117_20220429A.docx" TargetMode="External"/><Relationship Id="rId10" Type="http://schemas.openxmlformats.org/officeDocument/2006/relationships/hyperlink" Target="file:///h:\sj\20220317.docx" TargetMode="External"/><Relationship Id="rId19" Type="http://schemas.openxmlformats.org/officeDocument/2006/relationships/hyperlink" Target="file:///h:\sj\20220505.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220317.docx" TargetMode="External"/><Relationship Id="rId14" Type="http://schemas.openxmlformats.org/officeDocument/2006/relationships/hyperlink" Target="file:///h:\hj\20220427.docx" TargetMode="External"/><Relationship Id="rId22" Type="http://schemas.openxmlformats.org/officeDocument/2006/relationships/hyperlink" Target="http://www.scstatehouse.gov/billsearch.php?billnumbers=1117&amp;session=124&amp;summary=B" TargetMode="External"/><Relationship Id="rId27" Type="http://schemas.openxmlformats.org/officeDocument/2006/relationships/hyperlink" Target="file:///p:\pprever\2021-22\1117_20220429.docx" TargetMode="External"/><Relationship Id="rId30" Type="http://schemas.openxmlformats.org/officeDocument/2006/relationships/hyperlink" Target="file:///p:\pprever\2021-22\1117_202205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3641</Words>
  <Characters>20756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1117: SC Grain Producers Guaranty Fund - South Carolina Legislature Online</dc:title>
  <dc:subject/>
  <dc:creator>Gwen Thurmond</dc:creator>
  <cp:keywords/>
  <dc:description/>
  <cp:lastModifiedBy>Danny Crook</cp:lastModifiedBy>
  <cp:revision>2</cp:revision>
  <cp:lastPrinted>2022-05-09T13:31:00Z</cp:lastPrinted>
  <dcterms:created xsi:type="dcterms:W3CDTF">2022-06-10T20:02:00Z</dcterms:created>
  <dcterms:modified xsi:type="dcterms:W3CDTF">2022-06-10T20:02:00Z</dcterms:modified>
</cp:coreProperties>
</file>