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3567">
        <w:rPr>
          <w:rFonts w:cs="Times New Roman"/>
          <w:b/>
        </w:rPr>
        <w:t>South Carolina General Assembly</w:t>
      </w: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3567">
        <w:rPr>
          <w:rFonts w:cs="Times New Roman"/>
        </w:rPr>
        <w:t>124th Session, 2021-2022</w:t>
      </w: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567" w:rsidRPr="00D73567" w:rsidRDefault="00BF74AC"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A99, R39, S147</w:t>
      </w: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567">
        <w:rPr>
          <w:rFonts w:cs="Times New Roman"/>
          <w:b/>
        </w:rPr>
        <w:t>STATUS INFORMATION</w:t>
      </w: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567">
        <w:rPr>
          <w:rFonts w:cs="Times New Roman"/>
        </w:rPr>
        <w:t>Joint Resolution</w:t>
      </w: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567">
        <w:rPr>
          <w:rFonts w:cs="Times New Roman"/>
        </w:rPr>
        <w:t>Sponsors: Senators Massey, Rice, Hembree, Adams, Peeler, Turner, Alexander, Gustafson, Talley, Loftis, Climer, Kimbrell, Grooms, Bennett, Corbin and Martin</w:t>
      </w: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567">
        <w:rPr>
          <w:rFonts w:cs="Times New Roman"/>
        </w:rPr>
        <w:t>Document Path: l:\s-res\asm\008liab.kmm.asm.docx</w:t>
      </w: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567">
        <w:rPr>
          <w:rFonts w:cs="Times New Roman"/>
        </w:rPr>
        <w:t>Companion/Similar bill(s): 3597, 3698</w:t>
      </w: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670D" w:rsidRDefault="00AC670D"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AC670D" w:rsidRDefault="00AC670D"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 2021</w:t>
      </w:r>
    </w:p>
    <w:p w:rsidR="00AC670D" w:rsidRDefault="00AC670D"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25, 2021</w:t>
      </w:r>
    </w:p>
    <w:p w:rsidR="00AC670D" w:rsidRDefault="00AC670D"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23, 2021</w:t>
      </w:r>
    </w:p>
    <w:p w:rsidR="00AC670D" w:rsidRDefault="00AC670D"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28, 2021, Signed</w:t>
      </w:r>
    </w:p>
    <w:p w:rsidR="00AC670D" w:rsidRDefault="00AC670D"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567">
        <w:rPr>
          <w:rFonts w:cs="Times New Roman"/>
        </w:rPr>
        <w:t>Summary: SC COVID-19 Liability Safe Harbor Act</w:t>
      </w: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567" w:rsidRPr="00D73567" w:rsidRDefault="00D73567" w:rsidP="00D73567">
      <w:pPr>
        <w:widowControl w:val="0"/>
        <w:tabs>
          <w:tab w:val="center" w:pos="590"/>
          <w:tab w:val="center" w:pos="1440"/>
          <w:tab w:val="left" w:pos="1872"/>
          <w:tab w:val="left" w:pos="9187"/>
        </w:tabs>
        <w:rPr>
          <w:rFonts w:cs="Times New Roman"/>
        </w:rPr>
      </w:pPr>
      <w:r w:rsidRPr="00D73567">
        <w:rPr>
          <w:rFonts w:cs="Times New Roman"/>
          <w:b/>
        </w:rPr>
        <w:t>HISTORY OF LEGISLATIVE ACTIONS</w:t>
      </w:r>
    </w:p>
    <w:p w:rsidR="00D73567" w:rsidRPr="00D73567" w:rsidRDefault="00D73567" w:rsidP="00D73567">
      <w:pPr>
        <w:widowControl w:val="0"/>
        <w:tabs>
          <w:tab w:val="center" w:pos="590"/>
          <w:tab w:val="center" w:pos="1440"/>
          <w:tab w:val="left" w:pos="1872"/>
          <w:tab w:val="left" w:pos="9187"/>
        </w:tabs>
        <w:rPr>
          <w:rFonts w:cs="Times New Roman"/>
        </w:rPr>
      </w:pPr>
    </w:p>
    <w:p w:rsidR="00D73567" w:rsidRPr="00D73567" w:rsidRDefault="00D73567" w:rsidP="00D73567">
      <w:pPr>
        <w:widowControl w:val="0"/>
        <w:tabs>
          <w:tab w:val="center" w:pos="590"/>
          <w:tab w:val="center" w:pos="1440"/>
          <w:tab w:val="left" w:pos="1872"/>
          <w:tab w:val="left" w:pos="9187"/>
        </w:tabs>
        <w:rPr>
          <w:rFonts w:cs="Times New Roman"/>
        </w:rPr>
      </w:pPr>
      <w:r w:rsidRPr="00D73567">
        <w:rPr>
          <w:rFonts w:cs="Times New Roman"/>
          <w:u w:val="single"/>
        </w:rPr>
        <w:tab/>
        <w:t>Date</w:t>
      </w:r>
      <w:r w:rsidRPr="00D73567">
        <w:rPr>
          <w:rFonts w:cs="Times New Roman"/>
          <w:u w:val="single"/>
        </w:rPr>
        <w:tab/>
        <w:t>Body</w:t>
      </w:r>
      <w:r w:rsidRPr="00D73567">
        <w:rPr>
          <w:rFonts w:cs="Times New Roman"/>
          <w:u w:val="single"/>
        </w:rPr>
        <w:tab/>
        <w:t>Action Description with journal page number</w:t>
      </w:r>
      <w:r w:rsidRPr="00D73567">
        <w:rPr>
          <w:rFonts w:cs="Times New Roman"/>
          <w:u w:val="single"/>
        </w:rPr>
        <w:tab/>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513353">
        <w:rPr>
          <w:rFonts w:cs="Times New Roman"/>
          <w:b/>
        </w:rPr>
        <w:t>Judiciary</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7" w:history="1">
        <w:r w:rsidRPr="00513353">
          <w:rPr>
            <w:rStyle w:val="Hyperlink"/>
            <w:rFonts w:cs="Times New Roman"/>
          </w:rPr>
          <w:t>Senate Journal</w:t>
        </w:r>
        <w:r w:rsidRPr="00513353">
          <w:rPr>
            <w:rStyle w:val="Hyperlink"/>
            <w:rFonts w:cs="Times New Roman"/>
          </w:rPr>
          <w:noBreakHyphen/>
          <w:t>page 191</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513353">
        <w:rPr>
          <w:rFonts w:cs="Times New Roman"/>
          <w:b/>
        </w:rPr>
        <w:t>Judiciary</w:t>
      </w:r>
      <w:r>
        <w:rPr>
          <w:rFonts w:cs="Times New Roman"/>
        </w:rPr>
        <w:t xml:space="preserve"> (</w:t>
      </w:r>
      <w:hyperlink r:id="rId8" w:history="1">
        <w:r w:rsidRPr="00513353">
          <w:rPr>
            <w:rStyle w:val="Hyperlink"/>
            <w:rFonts w:cs="Times New Roman"/>
          </w:rPr>
          <w:t>Senate Journal</w:t>
        </w:r>
        <w:r w:rsidRPr="00513353">
          <w:rPr>
            <w:rStyle w:val="Hyperlink"/>
            <w:rFonts w:cs="Times New Roman"/>
          </w:rPr>
          <w:noBreakHyphen/>
          <w:t>page 191</w:t>
        </w:r>
      </w:hyperlink>
      <w:bookmarkStart w:id="0" w:name="_GoBack"/>
      <w:bookmarkEnd w:id="0"/>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Referred to Subcommittee:  Malloy (ch), Young, Sabb, Senn, Talley</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Senate</w:t>
      </w:r>
      <w:r>
        <w:rPr>
          <w:rFonts w:cs="Times New Roman"/>
        </w:rPr>
        <w:tab/>
        <w:t xml:space="preserve">Committee report: Favorable with amendment </w:t>
      </w:r>
      <w:r w:rsidRPr="00513353">
        <w:rPr>
          <w:rFonts w:cs="Times New Roman"/>
          <w:b/>
        </w:rPr>
        <w:t>Judiciary</w:t>
      </w:r>
      <w:r>
        <w:rPr>
          <w:rFonts w:cs="Times New Roman"/>
        </w:rPr>
        <w:t xml:space="preserve"> (</w:t>
      </w:r>
      <w:hyperlink r:id="rId9" w:history="1">
        <w:r w:rsidRPr="00513353">
          <w:rPr>
            <w:rStyle w:val="Hyperlink"/>
            <w:rFonts w:cs="Times New Roman"/>
          </w:rPr>
          <w:t>Senate Journal</w:t>
        </w:r>
        <w:r w:rsidRPr="00513353">
          <w:rPr>
            <w:rStyle w:val="Hyperlink"/>
            <w:rFonts w:cs="Times New Roman"/>
          </w:rPr>
          <w:noBreakHyphen/>
          <w:t>page 5</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2/12/2021</w:t>
      </w:r>
      <w:r>
        <w:rPr>
          <w:rFonts w:cs="Times New Roman"/>
        </w:rPr>
        <w:tab/>
      </w:r>
      <w:r>
        <w:rPr>
          <w:rFonts w:cs="Times New Roman"/>
        </w:rPr>
        <w:tab/>
        <w:t>Scrivener's error corrected</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Special order, set for  February 17, 2021 (</w:t>
      </w:r>
      <w:hyperlink r:id="rId10" w:history="1">
        <w:r w:rsidRPr="00513353">
          <w:rPr>
            <w:rStyle w:val="Hyperlink"/>
            <w:rFonts w:cs="Times New Roman"/>
          </w:rPr>
          <w:t>Senate Journal</w:t>
        </w:r>
        <w:r w:rsidRPr="00513353">
          <w:rPr>
            <w:rStyle w:val="Hyperlink"/>
            <w:rFonts w:cs="Times New Roman"/>
          </w:rPr>
          <w:noBreakHyphen/>
          <w:t>page 23</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Committee Amendment Tabled (</w:t>
      </w:r>
      <w:hyperlink r:id="rId11" w:history="1">
        <w:r w:rsidRPr="00513353">
          <w:rPr>
            <w:rStyle w:val="Hyperlink"/>
            <w:rFonts w:cs="Times New Roman"/>
          </w:rPr>
          <w:t>Senate Journal</w:t>
        </w:r>
        <w:r w:rsidRPr="00513353">
          <w:rPr>
            <w:rStyle w:val="Hyperlink"/>
            <w:rFonts w:cs="Times New Roman"/>
          </w:rPr>
          <w:noBreakHyphen/>
          <w:t>page 23</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Amended (</w:t>
      </w:r>
      <w:hyperlink r:id="rId12" w:history="1">
        <w:r w:rsidRPr="00513353">
          <w:rPr>
            <w:rStyle w:val="Hyperlink"/>
            <w:rFonts w:cs="Times New Roman"/>
          </w:rPr>
          <w:t>Senate Journal</w:t>
        </w:r>
        <w:r w:rsidRPr="00513353">
          <w:rPr>
            <w:rStyle w:val="Hyperlink"/>
            <w:rFonts w:cs="Times New Roman"/>
          </w:rPr>
          <w:noBreakHyphen/>
          <w:t>page 23</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Read second time (</w:t>
      </w:r>
      <w:hyperlink r:id="rId13" w:history="1">
        <w:r w:rsidRPr="00513353">
          <w:rPr>
            <w:rStyle w:val="Hyperlink"/>
            <w:rFonts w:cs="Times New Roman"/>
          </w:rPr>
          <w:t>Senate Journal</w:t>
        </w:r>
        <w:r w:rsidRPr="00513353">
          <w:rPr>
            <w:rStyle w:val="Hyperlink"/>
            <w:rFonts w:cs="Times New Roman"/>
          </w:rPr>
          <w:noBreakHyphen/>
          <w:t>page 23</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Amended (</w:t>
      </w:r>
      <w:hyperlink r:id="rId14" w:history="1">
        <w:r w:rsidRPr="00513353">
          <w:rPr>
            <w:rStyle w:val="Hyperlink"/>
            <w:rFonts w:cs="Times New Roman"/>
          </w:rPr>
          <w:t>Senate Journal</w:t>
        </w:r>
        <w:r w:rsidRPr="00513353">
          <w:rPr>
            <w:rStyle w:val="Hyperlink"/>
            <w:rFonts w:cs="Times New Roman"/>
          </w:rPr>
          <w:noBreakHyphen/>
          <w:t>page 23</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Read third time and sent to House (</w:t>
      </w:r>
      <w:hyperlink r:id="rId15" w:history="1">
        <w:r w:rsidRPr="00513353">
          <w:rPr>
            <w:rStyle w:val="Hyperlink"/>
            <w:rFonts w:cs="Times New Roman"/>
          </w:rPr>
          <w:t>Senate Journal</w:t>
        </w:r>
        <w:r w:rsidRPr="00513353">
          <w:rPr>
            <w:rStyle w:val="Hyperlink"/>
            <w:rFonts w:cs="Times New Roman"/>
          </w:rPr>
          <w:noBreakHyphen/>
          <w:t>page 23</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Roll call Ayes</w:t>
      </w:r>
      <w:r>
        <w:rPr>
          <w:rFonts w:cs="Times New Roman"/>
        </w:rPr>
        <w:noBreakHyphen/>
        <w:t>40  Nays</w:t>
      </w:r>
      <w:r>
        <w:rPr>
          <w:rFonts w:cs="Times New Roman"/>
        </w:rPr>
        <w:noBreakHyphen/>
        <w:t>3 (</w:t>
      </w:r>
      <w:hyperlink r:id="rId16" w:history="1">
        <w:r w:rsidRPr="00513353">
          <w:rPr>
            <w:rStyle w:val="Hyperlink"/>
            <w:rFonts w:cs="Times New Roman"/>
          </w:rPr>
          <w:t>Senate Journal</w:t>
        </w:r>
        <w:r w:rsidRPr="00513353">
          <w:rPr>
            <w:rStyle w:val="Hyperlink"/>
            <w:rFonts w:cs="Times New Roman"/>
          </w:rPr>
          <w:noBreakHyphen/>
          <w:t>page 23</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Introduced and read first time (</w:t>
      </w:r>
      <w:hyperlink r:id="rId17" w:history="1">
        <w:r w:rsidRPr="00513353">
          <w:rPr>
            <w:rStyle w:val="Hyperlink"/>
            <w:rFonts w:cs="Times New Roman"/>
          </w:rPr>
          <w:t>House Journal</w:t>
        </w:r>
        <w:r w:rsidRPr="00513353">
          <w:rPr>
            <w:rStyle w:val="Hyperlink"/>
            <w:rFonts w:cs="Times New Roman"/>
          </w:rPr>
          <w:noBreakHyphen/>
          <w:t>page 13</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 xml:space="preserve">Referred to Committee on </w:t>
      </w:r>
      <w:r w:rsidRPr="00513353">
        <w:rPr>
          <w:rFonts w:cs="Times New Roman"/>
          <w:b/>
        </w:rPr>
        <w:t>Judiciary</w:t>
      </w:r>
      <w:r>
        <w:rPr>
          <w:rFonts w:cs="Times New Roman"/>
        </w:rPr>
        <w:t xml:space="preserve"> (</w:t>
      </w:r>
      <w:hyperlink r:id="rId18" w:history="1">
        <w:r w:rsidRPr="00513353">
          <w:rPr>
            <w:rStyle w:val="Hyperlink"/>
            <w:rFonts w:cs="Times New Roman"/>
          </w:rPr>
          <w:t>House Journal</w:t>
        </w:r>
        <w:r w:rsidRPr="00513353">
          <w:rPr>
            <w:rStyle w:val="Hyperlink"/>
            <w:rFonts w:cs="Times New Roman"/>
          </w:rPr>
          <w:noBreakHyphen/>
          <w:t>page 13</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 xml:space="preserve">Committee report: Favorable </w:t>
      </w:r>
      <w:r w:rsidRPr="00513353">
        <w:rPr>
          <w:rFonts w:cs="Times New Roman"/>
          <w:b/>
        </w:rPr>
        <w:t>Judiciary</w:t>
      </w:r>
      <w:r>
        <w:rPr>
          <w:rFonts w:cs="Times New Roman"/>
        </w:rPr>
        <w:t xml:space="preserve"> (</w:t>
      </w:r>
      <w:hyperlink r:id="rId19" w:history="1">
        <w:r w:rsidRPr="00513353">
          <w:rPr>
            <w:rStyle w:val="Hyperlink"/>
            <w:rFonts w:cs="Times New Roman"/>
          </w:rPr>
          <w:t>House Journal</w:t>
        </w:r>
        <w:r w:rsidRPr="00513353">
          <w:rPr>
            <w:rStyle w:val="Hyperlink"/>
            <w:rFonts w:cs="Times New Roman"/>
          </w:rPr>
          <w:noBreakHyphen/>
          <w:t>page 12</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Read second time (</w:t>
      </w:r>
      <w:hyperlink r:id="rId20" w:history="1">
        <w:r w:rsidRPr="00513353">
          <w:rPr>
            <w:rStyle w:val="Hyperlink"/>
            <w:rFonts w:cs="Times New Roman"/>
          </w:rPr>
          <w:t>House Journal</w:t>
        </w:r>
        <w:r w:rsidRPr="00513353">
          <w:rPr>
            <w:rStyle w:val="Hyperlink"/>
            <w:rFonts w:cs="Times New Roman"/>
          </w:rPr>
          <w:noBreakHyphen/>
          <w:t>page 14</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Roll call Yeas</w:t>
      </w:r>
      <w:r>
        <w:rPr>
          <w:rFonts w:cs="Times New Roman"/>
        </w:rPr>
        <w:noBreakHyphen/>
        <w:t>89  Nays</w:t>
      </w:r>
      <w:r>
        <w:rPr>
          <w:rFonts w:cs="Times New Roman"/>
        </w:rPr>
        <w:noBreakHyphen/>
        <w:t>18 (</w:t>
      </w:r>
      <w:hyperlink r:id="rId21" w:history="1">
        <w:r w:rsidRPr="00513353">
          <w:rPr>
            <w:rStyle w:val="Hyperlink"/>
            <w:rFonts w:cs="Times New Roman"/>
          </w:rPr>
          <w:t>House Journal</w:t>
        </w:r>
        <w:r w:rsidRPr="00513353">
          <w:rPr>
            <w:rStyle w:val="Hyperlink"/>
            <w:rFonts w:cs="Times New Roman"/>
          </w:rPr>
          <w:noBreakHyphen/>
          <w:t>page 14</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Unanimous consent for third reading on next legislative day (</w:t>
      </w:r>
      <w:hyperlink r:id="rId22" w:history="1">
        <w:r w:rsidRPr="00513353">
          <w:rPr>
            <w:rStyle w:val="Hyperlink"/>
            <w:rFonts w:cs="Times New Roman"/>
          </w:rPr>
          <w:t>House Journal</w:t>
        </w:r>
        <w:r w:rsidRPr="00513353">
          <w:rPr>
            <w:rStyle w:val="Hyperlink"/>
            <w:rFonts w:cs="Times New Roman"/>
          </w:rPr>
          <w:noBreakHyphen/>
          <w:t>page 16</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4/23/2021</w:t>
      </w:r>
      <w:r>
        <w:rPr>
          <w:rFonts w:cs="Times New Roman"/>
        </w:rPr>
        <w:tab/>
        <w:t>House</w:t>
      </w:r>
      <w:r>
        <w:rPr>
          <w:rFonts w:cs="Times New Roman"/>
        </w:rPr>
        <w:tab/>
        <w:t>Read third time and enrolled (</w:t>
      </w:r>
      <w:hyperlink r:id="rId23" w:history="1">
        <w:r w:rsidRPr="00513353">
          <w:rPr>
            <w:rStyle w:val="Hyperlink"/>
            <w:rFonts w:cs="Times New Roman"/>
          </w:rPr>
          <w:t>House Journal</w:t>
        </w:r>
        <w:r w:rsidRPr="00513353">
          <w:rPr>
            <w:rStyle w:val="Hyperlink"/>
            <w:rFonts w:cs="Times New Roman"/>
          </w:rPr>
          <w:noBreakHyphen/>
          <w:t>page 1</w:t>
        </w:r>
      </w:hyperlink>
      <w:r>
        <w:rPr>
          <w:rFonts w:cs="Times New Roman"/>
        </w:rPr>
        <w:t>)</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Ratified R  39</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Signed By Governor</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r>
      <w:r>
        <w:rPr>
          <w:rFonts w:cs="Times New Roman"/>
        </w:rPr>
        <w:tab/>
        <w:t>Effective date  04/28/21</w:t>
      </w:r>
    </w:p>
    <w:p w:rsidR="00BF74AC" w:rsidRDefault="00BF74AC" w:rsidP="00BF74AC">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99</w:t>
      </w:r>
    </w:p>
    <w:p w:rsidR="00BF74AC" w:rsidRDefault="00BF74AC" w:rsidP="00BF74AC">
      <w:pPr>
        <w:widowControl w:val="0"/>
        <w:tabs>
          <w:tab w:val="right" w:pos="1008"/>
          <w:tab w:val="left" w:pos="1152"/>
          <w:tab w:val="left" w:pos="1872"/>
          <w:tab w:val="left" w:pos="9187"/>
        </w:tabs>
        <w:ind w:left="2088" w:hanging="2088"/>
        <w:rPr>
          <w:rFonts w:cs="Times New Roman"/>
        </w:rPr>
      </w:pPr>
    </w:p>
    <w:p w:rsidR="00D73567" w:rsidRPr="00D73567" w:rsidRDefault="00D73567" w:rsidP="00D73567">
      <w:pPr>
        <w:widowControl w:val="0"/>
        <w:tabs>
          <w:tab w:val="right" w:pos="1008"/>
          <w:tab w:val="left" w:pos="1152"/>
          <w:tab w:val="left" w:pos="1872"/>
          <w:tab w:val="left" w:pos="9187"/>
        </w:tabs>
        <w:ind w:left="2088" w:hanging="2088"/>
        <w:rPr>
          <w:rFonts w:cs="Times New Roman"/>
        </w:rPr>
      </w:pPr>
      <w:r w:rsidRPr="00D73567">
        <w:rPr>
          <w:rFonts w:cs="Times New Roman"/>
        </w:rPr>
        <w:t xml:space="preserve">View the latest </w:t>
      </w:r>
      <w:hyperlink r:id="rId24" w:history="1">
        <w:r w:rsidRPr="00D73567">
          <w:rPr>
            <w:rFonts w:cs="Times New Roman"/>
            <w:color w:val="0000FF" w:themeColor="hyperlink"/>
            <w:u w:val="single"/>
          </w:rPr>
          <w:t>legislative information</w:t>
        </w:r>
      </w:hyperlink>
      <w:r w:rsidRPr="00D73567">
        <w:rPr>
          <w:rFonts w:cs="Times New Roman"/>
        </w:rPr>
        <w:t xml:space="preserve"> at the website</w:t>
      </w:r>
    </w:p>
    <w:p w:rsidR="00D73567" w:rsidRPr="00D73567" w:rsidRDefault="00D73567" w:rsidP="00D73567">
      <w:pPr>
        <w:widowControl w:val="0"/>
        <w:tabs>
          <w:tab w:val="right" w:pos="1008"/>
          <w:tab w:val="left" w:pos="1152"/>
          <w:tab w:val="left" w:pos="1872"/>
          <w:tab w:val="left" w:pos="9187"/>
        </w:tabs>
        <w:ind w:left="2088" w:hanging="2088"/>
        <w:rPr>
          <w:rFonts w:cs="Times New Roman"/>
        </w:rPr>
      </w:pPr>
    </w:p>
    <w:p w:rsidR="00D73567" w:rsidRPr="00D73567" w:rsidRDefault="00D73567" w:rsidP="00D73567">
      <w:pPr>
        <w:widowControl w:val="0"/>
        <w:tabs>
          <w:tab w:val="right" w:pos="1008"/>
          <w:tab w:val="left" w:pos="1152"/>
          <w:tab w:val="left" w:pos="1872"/>
          <w:tab w:val="left" w:pos="9187"/>
        </w:tabs>
        <w:ind w:left="2088" w:hanging="2088"/>
        <w:rPr>
          <w:rFonts w:cs="Times New Roman"/>
        </w:rPr>
      </w:pP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567">
        <w:rPr>
          <w:rFonts w:cs="Times New Roman"/>
          <w:b/>
        </w:rPr>
        <w:t>VERSIONS OF THIS BILL</w:t>
      </w:r>
    </w:p>
    <w:p w:rsidR="00D73567" w:rsidRPr="00D73567" w:rsidRDefault="00D73567"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567" w:rsidRPr="00D73567" w:rsidRDefault="00A960B9" w:rsidP="00D735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73567" w:rsidRPr="00D73567">
          <w:rPr>
            <w:rFonts w:cs="Times New Roman"/>
            <w:color w:val="0000FF" w:themeColor="hyperlink"/>
            <w:u w:val="single"/>
          </w:rPr>
          <w:t>12/9/2020</w:t>
        </w:r>
      </w:hyperlink>
    </w:p>
    <w:p w:rsidR="00D73567" w:rsidRPr="00D73567" w:rsidRDefault="00A960B9" w:rsidP="00D7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D73567" w:rsidRPr="00D73567">
          <w:rPr>
            <w:rFonts w:cs="Times New Roman"/>
            <w:color w:val="0000FF" w:themeColor="hyperlink"/>
            <w:u w:val="single"/>
          </w:rPr>
          <w:t>2/11/2021</w:t>
        </w:r>
      </w:hyperlink>
    </w:p>
    <w:p w:rsidR="00D73567" w:rsidRPr="00D73567" w:rsidRDefault="00A960B9" w:rsidP="00D7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D73567" w:rsidRPr="00D73567">
          <w:rPr>
            <w:rFonts w:cs="Times New Roman"/>
            <w:color w:val="0000FF" w:themeColor="hyperlink"/>
            <w:u w:val="single"/>
          </w:rPr>
          <w:t>2/12/2021</w:t>
        </w:r>
      </w:hyperlink>
    </w:p>
    <w:p w:rsidR="00D73567" w:rsidRPr="00D73567" w:rsidRDefault="00A960B9" w:rsidP="00D7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D73567" w:rsidRPr="00D73567">
          <w:rPr>
            <w:rFonts w:cs="Times New Roman"/>
            <w:color w:val="0000FF" w:themeColor="hyperlink"/>
            <w:u w:val="single"/>
          </w:rPr>
          <w:t>2/18/2021</w:t>
        </w:r>
      </w:hyperlink>
    </w:p>
    <w:p w:rsidR="00D73567" w:rsidRPr="00D73567" w:rsidRDefault="00A960B9" w:rsidP="00D7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D73567" w:rsidRPr="00D73567">
          <w:rPr>
            <w:rFonts w:cs="Times New Roman"/>
            <w:color w:val="0000FF" w:themeColor="hyperlink"/>
            <w:u w:val="single"/>
          </w:rPr>
          <w:t>2/25/2021</w:t>
        </w:r>
      </w:hyperlink>
    </w:p>
    <w:p w:rsidR="00D73567" w:rsidRPr="00D73567" w:rsidRDefault="00A960B9" w:rsidP="00D7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D73567" w:rsidRPr="00D73567">
          <w:rPr>
            <w:rFonts w:cs="Times New Roman"/>
            <w:color w:val="0000FF" w:themeColor="hyperlink"/>
            <w:u w:val="single"/>
          </w:rPr>
          <w:t>4/21/2021</w:t>
        </w:r>
      </w:hyperlink>
    </w:p>
    <w:p w:rsidR="00D73567" w:rsidRPr="00D73567" w:rsidRDefault="00D73567" w:rsidP="00D7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567" w:rsidRPr="00D73567" w:rsidRDefault="00D73567" w:rsidP="00D7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567" w:rsidRDefault="00D73567" w:rsidP="00D7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3567" w:rsidSect="00D73567">
          <w:pgSz w:w="12240" w:h="15840" w:code="1"/>
          <w:pgMar w:top="1080" w:right="1440" w:bottom="1080" w:left="1440" w:header="720" w:footer="720" w:gutter="0"/>
          <w:pgNumType w:start="1"/>
          <w:cols w:space="720"/>
          <w:noEndnote/>
          <w:docGrid w:linePitch="360"/>
        </w:sectPr>
      </w:pP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(A99, R39, S147)</w:t>
      </w:r>
    </w:p>
    <w:p w:rsidR="00DC7859" w:rsidRPr="008836A5"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7859" w:rsidRPr="00D73567"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3567">
        <w:rPr>
          <w:rFonts w:cs="Times New Roman"/>
          <w:b/>
          <w:color w:val="000000" w:themeColor="text1"/>
          <w:szCs w:val="36"/>
        </w:rPr>
        <w:t xml:space="preserve">A JOINT RESOLUTION </w:t>
      </w:r>
      <w:r w:rsidRPr="00D73567">
        <w:rPr>
          <w:rFonts w:eastAsia="Times New Roman" w:cs="Times New Roman"/>
          <w:b/>
          <w:snapToGrid w:val="0"/>
          <w:szCs w:val="20"/>
        </w:rPr>
        <w:t>TO ENACT THE “SOUTH CAROLINA COVID</w:t>
      </w:r>
      <w:r w:rsidRPr="00D73567">
        <w:rPr>
          <w:rFonts w:eastAsia="Times New Roman" w:cs="Times New Roman"/>
          <w:b/>
          <w:snapToGrid w:val="0"/>
          <w:szCs w:val="20"/>
        </w:rPr>
        <w:noBreakHyphen/>
        <w:t>19 LIABILITY IMMUNITY ACT” SO AS TO PROVIDE LIABILITY PROTECTIONS FOR A LIMITED TIME PERIOD FOR HEALTH CARE PROVIDERS AND BUSINESSES THAT FOLLOW PUBLIC HEALTH GUIDANCE IN RESPONSE TO THE CORONAVIRUS PUBLIC HEALTH EMERGENCY; TO DEFINE NECESSARY TERMS; TO PROVIDE LIABILITY PROTECTION FOR CERTAIN COVERED ENTITIES AND COVERED INDIVIDUALS FOR CORONAVIRUS</w:t>
      </w:r>
      <w:r w:rsidRPr="00D73567">
        <w:rPr>
          <w:rFonts w:eastAsia="Times New Roman" w:cs="Times New Roman"/>
          <w:b/>
          <w:snapToGrid w:val="0"/>
          <w:szCs w:val="20"/>
        </w:rPr>
        <w:noBreakHyphen/>
        <w:t>RELATED CLAIMS; TO PROVIDE THAT DEFENSES ARE CUMULATIVE; AND TO PROVIDE A TIMEFRAME THAT THIS LIABILITY PROTECTION IS IN EFFECT.</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F01C4F">
        <w:rPr>
          <w:rFonts w:eastAsia="Times New Roman" w:cs="Times New Roman"/>
        </w:rPr>
        <w:t>Be it enacted by the General Assembly of the State of South Carolina:</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7859" w:rsidRPr="00B75160"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Citation</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SECTION</w:t>
      </w:r>
      <w:r w:rsidRPr="00F01C4F">
        <w:rPr>
          <w:rFonts w:eastAsia="Times New Roman" w:cs="Times New Roman"/>
          <w:snapToGrid w:val="0"/>
          <w:szCs w:val="20"/>
        </w:rPr>
        <w:tab/>
        <w:t>1.</w:t>
      </w:r>
      <w:r w:rsidRPr="00F01C4F">
        <w:rPr>
          <w:rFonts w:eastAsia="Times New Roman" w:cs="Times New Roman"/>
          <w:snapToGrid w:val="0"/>
          <w:szCs w:val="20"/>
        </w:rPr>
        <w:tab/>
        <w:t>This joint resolution must be known and may be cited as the “South Carolina COVID</w:t>
      </w:r>
      <w:r>
        <w:rPr>
          <w:rFonts w:eastAsia="Times New Roman" w:cs="Times New Roman"/>
          <w:snapToGrid w:val="0"/>
          <w:szCs w:val="20"/>
        </w:rPr>
        <w:noBreakHyphen/>
      </w:r>
      <w:r w:rsidRPr="00F01C4F">
        <w:rPr>
          <w:rFonts w:eastAsia="Times New Roman" w:cs="Times New Roman"/>
          <w:snapToGrid w:val="0"/>
          <w:szCs w:val="20"/>
        </w:rPr>
        <w:t>19 Liability Immunity Act”.</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p>
    <w:p w:rsidR="00DC7859" w:rsidRPr="00B75160"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General Assembly findings</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SECTION</w:t>
      </w:r>
      <w:r w:rsidRPr="00F01C4F">
        <w:rPr>
          <w:rFonts w:eastAsia="Times New Roman" w:cs="Times New Roman"/>
          <w:snapToGrid w:val="0"/>
          <w:szCs w:val="20"/>
        </w:rPr>
        <w:tab/>
        <w:t>2.</w:t>
      </w:r>
      <w:r w:rsidRPr="00F01C4F">
        <w:rPr>
          <w:rFonts w:eastAsia="Times New Roman" w:cs="Times New Roman"/>
          <w:snapToGrid w:val="0"/>
          <w:szCs w:val="20"/>
        </w:rPr>
        <w:tab/>
        <w:t>The General Assembly hereby finds and declares that providing businesses and health care providers with reasonable protections from the risk and expense of lawsuits related to actual, alleged, or feared exposure to or contraction of the coronavirus will help encourage them to reopen and remain open and will help to protect those who provided services or goods that were novel or altered in an effort to combat the coronavirus pandemic. Providing such immunity to businesses and health care providers that operate consistently with applicable public health guidance will help ameliorate the adverse impacts of a closed economy and the resulting unemployment.</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b/>
          <w:snapToGrid w:val="0"/>
          <w:szCs w:val="20"/>
        </w:rPr>
        <w:t>Definitions</w:t>
      </w:r>
    </w:p>
    <w:p w:rsidR="00DC7859" w:rsidRPr="00B75160"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SECTION</w:t>
      </w:r>
      <w:r w:rsidRPr="00F01C4F">
        <w:rPr>
          <w:rFonts w:eastAsia="Times New Roman" w:cs="Times New Roman"/>
          <w:snapToGrid w:val="0"/>
          <w:szCs w:val="20"/>
        </w:rPr>
        <w:tab/>
        <w:t>3.</w:t>
      </w:r>
      <w:r w:rsidRPr="00F01C4F">
        <w:rPr>
          <w:rFonts w:eastAsia="Times New Roman" w:cs="Times New Roman"/>
          <w:snapToGrid w:val="0"/>
          <w:szCs w:val="20"/>
        </w:rPr>
        <w:tab/>
        <w:t>The following terms shall have the following meanings unless otherwise specified:</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t>(1)</w:t>
      </w:r>
      <w:r w:rsidRPr="00F01C4F">
        <w:rPr>
          <w:rFonts w:eastAsia="Times New Roman" w:cs="Times New Roman"/>
          <w:snapToGrid w:val="0"/>
          <w:szCs w:val="20"/>
        </w:rPr>
        <w:tab/>
        <w:t>“Coronavirus claim” means any claim or cause of action arising from:</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(a)</w:t>
      </w:r>
      <w:r w:rsidRPr="00F01C4F">
        <w:rPr>
          <w:rFonts w:eastAsia="Times New Roman" w:cs="Times New Roman"/>
          <w:snapToGrid w:val="0"/>
          <w:szCs w:val="20"/>
        </w:rPr>
        <w:tab/>
        <w:t>an actual, alleged, or feared exposure to or contraction of coronavirus:</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lastRenderedPageBreak/>
        <w:tab/>
      </w: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(i)</w:t>
      </w:r>
      <w:r w:rsidRPr="00F01C4F">
        <w:rPr>
          <w:rFonts w:eastAsia="Times New Roman" w:cs="Times New Roman"/>
          <w:snapToGrid w:val="0"/>
          <w:szCs w:val="20"/>
        </w:rPr>
        <w:tab/>
      </w:r>
      <w:r w:rsidRPr="00F01C4F">
        <w:rPr>
          <w:rFonts w:eastAsia="Times New Roman" w:cs="Times New Roman"/>
          <w:snapToGrid w:val="0"/>
          <w:szCs w:val="20"/>
        </w:rPr>
        <w:tab/>
        <w:t>from the premises of a covered entity;</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(ii)</w:t>
      </w:r>
      <w:r w:rsidRPr="00F01C4F">
        <w:rPr>
          <w:rFonts w:eastAsia="Times New Roman" w:cs="Times New Roman"/>
          <w:snapToGrid w:val="0"/>
          <w:szCs w:val="20"/>
        </w:rPr>
        <w:tab/>
        <w:t>from the operations, products, or services provided on</w:t>
      </w:r>
      <w:r>
        <w:rPr>
          <w:rFonts w:eastAsia="Times New Roman" w:cs="Times New Roman"/>
          <w:snapToGrid w:val="0"/>
          <w:szCs w:val="20"/>
        </w:rPr>
        <w:noBreakHyphen/>
      </w:r>
      <w:r w:rsidRPr="00F01C4F">
        <w:rPr>
          <w:rFonts w:eastAsia="Times New Roman" w:cs="Times New Roman"/>
          <w:snapToGrid w:val="0"/>
          <w:szCs w:val="20"/>
        </w:rPr>
        <w:t>premises or off</w:t>
      </w:r>
      <w:r>
        <w:rPr>
          <w:rFonts w:eastAsia="Times New Roman" w:cs="Times New Roman"/>
          <w:snapToGrid w:val="0"/>
          <w:szCs w:val="20"/>
        </w:rPr>
        <w:noBreakHyphen/>
      </w:r>
      <w:r w:rsidRPr="00F01C4F">
        <w:rPr>
          <w:rFonts w:eastAsia="Times New Roman" w:cs="Times New Roman"/>
          <w:snapToGrid w:val="0"/>
          <w:szCs w:val="20"/>
        </w:rPr>
        <w:t>premises for a covered entity; or</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(iii)</w:t>
      </w:r>
      <w:r w:rsidRPr="00F01C4F">
        <w:rPr>
          <w:rFonts w:eastAsia="Times New Roman" w:cs="Times New Roman"/>
          <w:snapToGrid w:val="0"/>
          <w:szCs w:val="20"/>
        </w:rPr>
        <w:tab/>
        <w:t>from the acts or omissions of a covered individual or covered entity, to include the delay or withholding of medical care for the treatment or diagnosis of the coronavirus;</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(b)(i)</w:t>
      </w:r>
      <w:r w:rsidRPr="00F01C4F">
        <w:rPr>
          <w:rFonts w:eastAsia="Times New Roman" w:cs="Times New Roman"/>
          <w:snapToGrid w:val="0"/>
          <w:szCs w:val="20"/>
        </w:rPr>
        <w:tab/>
        <w:t>the prescribing or dispensing of medicines for off</w:t>
      </w:r>
      <w:r>
        <w:rPr>
          <w:rFonts w:eastAsia="Times New Roman" w:cs="Times New Roman"/>
          <w:snapToGrid w:val="0"/>
          <w:szCs w:val="20"/>
        </w:rPr>
        <w:noBreakHyphen/>
      </w:r>
      <w:r w:rsidRPr="00F01C4F">
        <w:rPr>
          <w:rFonts w:eastAsia="Times New Roman" w:cs="Times New Roman"/>
          <w:snapToGrid w:val="0"/>
          <w:szCs w:val="20"/>
        </w:rPr>
        <w:t>label use to attempt to combat the coronavirus;</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(ii)</w:t>
      </w:r>
      <w:r w:rsidRPr="00F01C4F">
        <w:rPr>
          <w:rFonts w:eastAsia="Times New Roman" w:cs="Times New Roman"/>
          <w:snapToGrid w:val="0"/>
          <w:szCs w:val="20"/>
        </w:rPr>
        <w:tab/>
        <w:t>the providing of health care services related to the coronavirus that are outside of a provider</w:t>
      </w:r>
      <w:r>
        <w:rPr>
          <w:rFonts w:eastAsia="Times New Roman" w:cs="Times New Roman"/>
          <w:snapToGrid w:val="0"/>
          <w:szCs w:val="20"/>
        </w:rPr>
        <w:t>’</w:t>
      </w:r>
      <w:r w:rsidRPr="00F01C4F">
        <w:rPr>
          <w:rFonts w:eastAsia="Times New Roman" w:cs="Times New Roman"/>
          <w:snapToGrid w:val="0"/>
          <w:szCs w:val="20"/>
        </w:rPr>
        <w:t>s professional scope of practice; or</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(iii)</w:t>
      </w:r>
      <w:r w:rsidRPr="00F01C4F">
        <w:rPr>
          <w:rFonts w:eastAsia="Times New Roman" w:cs="Times New Roman"/>
          <w:snapToGrid w:val="0"/>
          <w:szCs w:val="20"/>
        </w:rPr>
        <w:tab/>
        <w:t>the utilizing of equipment or supplies to combat or treat the coronavirus in a manner outside of the equipment</w:t>
      </w:r>
      <w:r>
        <w:rPr>
          <w:rFonts w:eastAsia="Times New Roman" w:cs="Times New Roman"/>
          <w:snapToGrid w:val="0"/>
          <w:szCs w:val="20"/>
        </w:rPr>
        <w:t>’s</w:t>
      </w:r>
      <w:r w:rsidRPr="00F01C4F">
        <w:rPr>
          <w:rFonts w:eastAsia="Times New Roman" w:cs="Times New Roman"/>
          <w:snapToGrid w:val="0"/>
          <w:szCs w:val="20"/>
        </w:rPr>
        <w:t xml:space="preserve"> or supplies</w:t>
      </w:r>
      <w:r>
        <w:rPr>
          <w:rFonts w:eastAsia="Times New Roman" w:cs="Times New Roman"/>
          <w:snapToGrid w:val="0"/>
          <w:szCs w:val="20"/>
        </w:rPr>
        <w:t>’</w:t>
      </w:r>
      <w:r w:rsidRPr="00F01C4F">
        <w:rPr>
          <w:rFonts w:eastAsia="Times New Roman" w:cs="Times New Roman"/>
          <w:snapToGrid w:val="0"/>
          <w:szCs w:val="20"/>
        </w:rPr>
        <w:t xml:space="preserve"> normal use in medical practice or in the provision of health care services; or</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(c)</w:t>
      </w:r>
      <w:r w:rsidRPr="00F01C4F">
        <w:rPr>
          <w:rFonts w:eastAsia="Times New Roman" w:cs="Times New Roman"/>
          <w:snapToGrid w:val="0"/>
          <w:szCs w:val="20"/>
        </w:rPr>
        <w:tab/>
        <w:t>the manufacturing or donating of precautionary equipment or supplies, including personal protective equipment, due to shortages that occurred during the coronavirus pandemic.</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t>(2)</w:t>
      </w:r>
      <w:r w:rsidRPr="00F01C4F">
        <w:rPr>
          <w:rFonts w:eastAsia="Times New Roman" w:cs="Times New Roman"/>
          <w:snapToGrid w:val="0"/>
          <w:szCs w:val="20"/>
        </w:rPr>
        <w:tab/>
        <w:t>“Coronavirus disease 2019” or “coronavirus”, commonly abbreviated as “COVID</w:t>
      </w:r>
      <w:r>
        <w:rPr>
          <w:rFonts w:eastAsia="Times New Roman" w:cs="Times New Roman"/>
          <w:snapToGrid w:val="0"/>
          <w:szCs w:val="20"/>
        </w:rPr>
        <w:noBreakHyphen/>
      </w:r>
      <w:r w:rsidRPr="00F01C4F">
        <w:rPr>
          <w:rFonts w:eastAsia="Times New Roman" w:cs="Times New Roman"/>
          <w:snapToGrid w:val="0"/>
          <w:szCs w:val="20"/>
        </w:rPr>
        <w:t>19”, means the virus generally known as “severe acute respiratory syndrome coronavirus 2”, any mutation thereof, and any disease or condition caused by “severe acute respiratory syndrome coronavirus 2”.</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t>(3)</w:t>
      </w:r>
      <w:r w:rsidRPr="00F01C4F">
        <w:rPr>
          <w:rFonts w:eastAsia="Times New Roman" w:cs="Times New Roman"/>
          <w:snapToGrid w:val="0"/>
          <w:szCs w:val="20"/>
        </w:rPr>
        <w:tab/>
        <w:t>“Covered entity” means any of the following:</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(a)</w:t>
      </w:r>
      <w:r w:rsidRPr="00F01C4F">
        <w:rPr>
          <w:rFonts w:eastAsia="Times New Roman" w:cs="Times New Roman"/>
          <w:snapToGrid w:val="0"/>
          <w:szCs w:val="20"/>
        </w:rPr>
        <w:tab/>
        <w:t>any for</w:t>
      </w:r>
      <w:r>
        <w:rPr>
          <w:rFonts w:eastAsia="Times New Roman" w:cs="Times New Roman"/>
          <w:snapToGrid w:val="0"/>
          <w:szCs w:val="20"/>
        </w:rPr>
        <w:noBreakHyphen/>
      </w:r>
      <w:r w:rsidRPr="00F01C4F">
        <w:rPr>
          <w:rFonts w:eastAsia="Times New Roman" w:cs="Times New Roman"/>
          <w:snapToGrid w:val="0"/>
          <w:szCs w:val="20"/>
        </w:rPr>
        <w:t>profit or not</w:t>
      </w:r>
      <w:r>
        <w:rPr>
          <w:rFonts w:eastAsia="Times New Roman" w:cs="Times New Roman"/>
          <w:snapToGrid w:val="0"/>
          <w:szCs w:val="20"/>
        </w:rPr>
        <w:noBreakHyphen/>
      </w:r>
      <w:r w:rsidRPr="00F01C4F">
        <w:rPr>
          <w:rFonts w:eastAsia="Times New Roman" w:cs="Times New Roman"/>
          <w:snapToGrid w:val="0"/>
          <w:szCs w:val="20"/>
        </w:rPr>
        <w:t>for</w:t>
      </w:r>
      <w:r>
        <w:rPr>
          <w:rFonts w:eastAsia="Times New Roman" w:cs="Times New Roman"/>
          <w:snapToGrid w:val="0"/>
          <w:szCs w:val="20"/>
        </w:rPr>
        <w:noBreakHyphen/>
      </w:r>
      <w:r w:rsidRPr="00F01C4F">
        <w:rPr>
          <w:rFonts w:eastAsia="Times New Roman" w:cs="Times New Roman"/>
          <w:snapToGrid w:val="0"/>
          <w:szCs w:val="20"/>
        </w:rPr>
        <w:t>profit business entity, organized in any form whatsoever;</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(b)</w:t>
      </w:r>
      <w:r w:rsidRPr="00F01C4F">
        <w:rPr>
          <w:rFonts w:eastAsia="Times New Roman" w:cs="Times New Roman"/>
          <w:snapToGrid w:val="0"/>
          <w:szCs w:val="20"/>
        </w:rPr>
        <w:tab/>
        <w:t>any South Carolina government</w:t>
      </w:r>
      <w:r>
        <w:rPr>
          <w:rFonts w:eastAsia="Times New Roman" w:cs="Times New Roman"/>
          <w:snapToGrid w:val="0"/>
          <w:szCs w:val="20"/>
        </w:rPr>
        <w:t>al</w:t>
      </w:r>
      <w:r w:rsidRPr="00F01C4F">
        <w:rPr>
          <w:rFonts w:eastAsia="Times New Roman" w:cs="Times New Roman"/>
          <w:snapToGrid w:val="0"/>
          <w:szCs w:val="20"/>
        </w:rPr>
        <w:t xml:space="preserve"> agency, division, authority, board, commission, instrumentality, political subdivision, municipality, county, or other governmental entity; or</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(c)</w:t>
      </w:r>
      <w:r w:rsidRPr="00F01C4F">
        <w:rPr>
          <w:rFonts w:eastAsia="Times New Roman" w:cs="Times New Roman"/>
          <w:snapToGrid w:val="0"/>
          <w:szCs w:val="20"/>
        </w:rPr>
        <w:tab/>
        <w:t>any health care facility, as defined in Chapter 4, Title 44 of the South Carolina Code, and any health care provider, as defined in Chapter 4, Title 44 of the South Carolina Code.</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t>(4)</w:t>
      </w:r>
      <w:r w:rsidRPr="00F01C4F">
        <w:rPr>
          <w:rFonts w:eastAsia="Times New Roman" w:cs="Times New Roman"/>
          <w:snapToGrid w:val="0"/>
          <w:szCs w:val="20"/>
        </w:rPr>
        <w:tab/>
        <w:t>“Covered individual” means any director, officer, employee, agent, contractor, third</w:t>
      </w:r>
      <w:r>
        <w:rPr>
          <w:rFonts w:eastAsia="Times New Roman" w:cs="Times New Roman"/>
          <w:snapToGrid w:val="0"/>
          <w:szCs w:val="20"/>
        </w:rPr>
        <w:noBreakHyphen/>
      </w:r>
      <w:r w:rsidRPr="00F01C4F">
        <w:rPr>
          <w:rFonts w:eastAsia="Times New Roman" w:cs="Times New Roman"/>
          <w:snapToGrid w:val="0"/>
          <w:szCs w:val="20"/>
        </w:rPr>
        <w:t>party worker, or other representative of a covered entity.</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t>(5)</w:t>
      </w:r>
      <w:r w:rsidRPr="00F01C4F">
        <w:rPr>
          <w:rFonts w:eastAsia="Times New Roman" w:cs="Times New Roman"/>
          <w:snapToGrid w:val="0"/>
          <w:szCs w:val="20"/>
        </w:rPr>
        <w:tab/>
        <w:t>“Public health guidance” means any applicable published guidance, directive, order, or rule provided by the South Carolina Occupational Safety and Health Administration, the South Carolina Department of Health and Environmental Control, or another state governmental entity, and federal guidance if referenced by state entities, that is applicable to the type of covered entity or covered individual at issue and to the coronavirus claim at issue.</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B75160"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lastRenderedPageBreak/>
        <w:t>Immunity from liability</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SECTION</w:t>
      </w:r>
      <w:r w:rsidRPr="00F01C4F">
        <w:rPr>
          <w:rFonts w:eastAsia="Times New Roman" w:cs="Times New Roman"/>
          <w:snapToGrid w:val="0"/>
          <w:szCs w:val="20"/>
        </w:rPr>
        <w:tab/>
        <w:t>4.</w:t>
      </w:r>
      <w:r w:rsidRPr="00F01C4F">
        <w:rPr>
          <w:rFonts w:eastAsia="Times New Roman" w:cs="Times New Roman"/>
          <w:snapToGrid w:val="0"/>
          <w:szCs w:val="20"/>
        </w:rPr>
        <w:tab/>
        <w:t>Notwithstanding any other provision of law, a covered entity or covered individual that reasonably adheres to public health guidance applicable at the time the conduct giving rise to a coronavirus claim occurs shall be entitled to immunity from liability for any acts or omissions resulting in a coronavirus claim. This immunity will not apply:</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t>(1)</w:t>
      </w:r>
      <w:r w:rsidRPr="00F01C4F">
        <w:rPr>
          <w:rFonts w:eastAsia="Times New Roman" w:cs="Times New Roman"/>
          <w:snapToGrid w:val="0"/>
          <w:szCs w:val="20"/>
        </w:rPr>
        <w:tab/>
        <w:t>for claims arising pursuant to SECTION 3(1)(b), if a claimant proves by a prepronderance of the evidence that the covered entity or covered individual caused the injury or damage by:</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(a)</w:t>
      </w:r>
      <w:r w:rsidRPr="00F01C4F">
        <w:rPr>
          <w:rFonts w:eastAsia="Times New Roman" w:cs="Times New Roman"/>
          <w:snapToGrid w:val="0"/>
          <w:szCs w:val="20"/>
        </w:rPr>
        <w:tab/>
        <w:t>grossly negligent, reckless, wilful, or intentional misconduct; or</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(b)</w:t>
      </w:r>
      <w:r w:rsidRPr="00F01C4F">
        <w:rPr>
          <w:rFonts w:eastAsia="Times New Roman" w:cs="Times New Roman"/>
          <w:snapToGrid w:val="0"/>
          <w:szCs w:val="20"/>
        </w:rPr>
        <w:tab/>
        <w:t>a failure to make any attempt to adhere to public health guidance; or</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t>(2)</w:t>
      </w:r>
      <w:r w:rsidRPr="00F01C4F">
        <w:rPr>
          <w:rFonts w:eastAsia="Times New Roman" w:cs="Times New Roman"/>
          <w:snapToGrid w:val="0"/>
          <w:szCs w:val="20"/>
        </w:rPr>
        <w:tab/>
        <w:t>for all other claims, if the claimant proves by clear and convincing evidence that the covered entity or covered individual caused the injury or damage by:</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(a)</w:t>
      </w:r>
      <w:r w:rsidRPr="00F01C4F">
        <w:rPr>
          <w:rFonts w:eastAsia="Times New Roman" w:cs="Times New Roman"/>
          <w:snapToGrid w:val="0"/>
          <w:szCs w:val="20"/>
        </w:rPr>
        <w:tab/>
        <w:t>grossly negligent, reckless, wilful, or intentional misconduct; or</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r>
      <w:r w:rsidRPr="00F01C4F">
        <w:rPr>
          <w:rFonts w:eastAsia="Times New Roman" w:cs="Times New Roman"/>
          <w:snapToGrid w:val="0"/>
          <w:szCs w:val="20"/>
        </w:rPr>
        <w:tab/>
      </w:r>
      <w:r w:rsidRPr="00F01C4F">
        <w:rPr>
          <w:rFonts w:eastAsia="Times New Roman" w:cs="Times New Roman"/>
          <w:snapToGrid w:val="0"/>
          <w:szCs w:val="20"/>
        </w:rPr>
        <w:tab/>
        <w:t>(b)</w:t>
      </w:r>
      <w:r w:rsidRPr="00F01C4F">
        <w:rPr>
          <w:rFonts w:eastAsia="Times New Roman" w:cs="Times New Roman"/>
          <w:snapToGrid w:val="0"/>
          <w:szCs w:val="20"/>
        </w:rPr>
        <w:tab/>
        <w:t>a failure to make any attempt to adhere to public health guidance.</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B75160"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Exclusion</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SECTION</w:t>
      </w:r>
      <w:r w:rsidRPr="00F01C4F">
        <w:rPr>
          <w:rFonts w:eastAsia="Times New Roman" w:cs="Times New Roman"/>
          <w:snapToGrid w:val="0"/>
          <w:szCs w:val="20"/>
        </w:rPr>
        <w:tab/>
        <w:t>5.</w:t>
      </w:r>
      <w:r w:rsidRPr="00F01C4F">
        <w:rPr>
          <w:rFonts w:eastAsia="Times New Roman" w:cs="Times New Roman"/>
          <w:snapToGrid w:val="0"/>
          <w:szCs w:val="20"/>
        </w:rPr>
        <w:tab/>
        <w:t>Nothing in this joint resolution shall be construed to preclude an insured</w:t>
      </w:r>
      <w:r>
        <w:rPr>
          <w:rFonts w:eastAsia="Times New Roman" w:cs="Times New Roman"/>
          <w:snapToGrid w:val="0"/>
          <w:szCs w:val="20"/>
        </w:rPr>
        <w:t>’</w:t>
      </w:r>
      <w:r w:rsidRPr="00F01C4F">
        <w:rPr>
          <w:rFonts w:eastAsia="Times New Roman" w:cs="Times New Roman"/>
          <w:snapToGrid w:val="0"/>
          <w:szCs w:val="20"/>
        </w:rPr>
        <w:t>s claim against an insurer</w:t>
      </w:r>
      <w:r>
        <w:rPr>
          <w:rFonts w:eastAsia="Times New Roman" w:cs="Times New Roman"/>
          <w:snapToGrid w:val="0"/>
          <w:szCs w:val="20"/>
        </w:rPr>
        <w:t>’</w:t>
      </w:r>
      <w:r w:rsidRPr="00F01C4F">
        <w:rPr>
          <w:rFonts w:eastAsia="Times New Roman" w:cs="Times New Roman"/>
          <w:snapToGrid w:val="0"/>
          <w:szCs w:val="20"/>
        </w:rPr>
        <w:t>s business interruption insurance policy.</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B75160"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Existing defenses and rights</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SECTION</w:t>
      </w:r>
      <w:r w:rsidRPr="00F01C4F">
        <w:rPr>
          <w:rFonts w:eastAsia="Times New Roman" w:cs="Times New Roman"/>
          <w:snapToGrid w:val="0"/>
          <w:szCs w:val="20"/>
        </w:rPr>
        <w:tab/>
        <w:t>6.</w:t>
      </w:r>
      <w:r w:rsidRPr="00F01C4F">
        <w:rPr>
          <w:rFonts w:eastAsia="Times New Roman" w:cs="Times New Roman"/>
          <w:snapToGrid w:val="0"/>
          <w:szCs w:val="20"/>
        </w:rPr>
        <w:tab/>
        <w:t>(A)</w:t>
      </w:r>
      <w:r w:rsidRPr="00F01C4F">
        <w:rPr>
          <w:rFonts w:eastAsia="Times New Roman" w:cs="Times New Roman"/>
          <w:snapToGrid w:val="0"/>
          <w:szCs w:val="20"/>
        </w:rPr>
        <w:tab/>
        <w:t>Nothing in this joint resolution shall be construed to limit in any way any defense or right that exists under law, and the liability protection provided by this joint resolution is in addition to and cumulative of other defenses and rights that exist under law.</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ab/>
        <w:t>(B)</w:t>
      </w:r>
      <w:r w:rsidRPr="00F01C4F">
        <w:rPr>
          <w:rFonts w:eastAsia="Times New Roman" w:cs="Times New Roman"/>
          <w:snapToGrid w:val="0"/>
          <w:szCs w:val="20"/>
        </w:rPr>
        <w:tab/>
        <w:t>Nothing in this joint resolution shall be construed to limit in any way any claim a claimant may have under the law against a covered entity or covered individual for liability as a result of acts or omissions that cause injuries, death, or damages other than from a coronavirus claim.</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B75160"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Severability</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lastRenderedPageBreak/>
        <w:t>SECTION</w:t>
      </w:r>
      <w:r w:rsidRPr="00F01C4F">
        <w:rPr>
          <w:rFonts w:eastAsia="Times New Roman" w:cs="Times New Roman"/>
          <w:snapToGrid w:val="0"/>
          <w:szCs w:val="20"/>
        </w:rPr>
        <w:tab/>
        <w:t>7.</w:t>
      </w:r>
      <w:r w:rsidRPr="00F01C4F">
        <w:rPr>
          <w:rFonts w:eastAsia="Times New Roman" w:cs="Times New Roman"/>
          <w:snapToGrid w:val="0"/>
          <w:szCs w:val="20"/>
        </w:rPr>
        <w:tab/>
        <w:t>The provisions of this joint resolution are severable. If any section, subsection, paragraph, subparagraph, item, subitem, sentence, clause, phrase, or word of this joint resolution is for any reason held to be unconstitutional or invalid, then such holding shall not affect the constitutionality or validity of the remaining portions of the joint resolution,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To the extent any provision of this joint resolution conflicts with any other law of this State, then the provisions of this joint resolution shall prevail.</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B75160"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Applicability</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01C4F">
        <w:rPr>
          <w:rFonts w:eastAsia="Times New Roman" w:cs="Times New Roman"/>
          <w:snapToGrid w:val="0"/>
          <w:szCs w:val="20"/>
        </w:rPr>
        <w:t>SECTION</w:t>
      </w:r>
      <w:r w:rsidRPr="00F01C4F">
        <w:rPr>
          <w:rFonts w:eastAsia="Times New Roman" w:cs="Times New Roman"/>
          <w:snapToGrid w:val="0"/>
          <w:szCs w:val="20"/>
        </w:rPr>
        <w:tab/>
        <w:t>8.</w:t>
      </w:r>
      <w:r w:rsidRPr="00F01C4F">
        <w:rPr>
          <w:rFonts w:eastAsia="Times New Roman" w:cs="Times New Roman"/>
          <w:snapToGrid w:val="0"/>
          <w:szCs w:val="20"/>
        </w:rPr>
        <w:tab/>
        <w:t>The provisions of this joint resolution do not apply to and do not exclude or limit any actions or remedies available under Title 42, commonly known as the South Carolina Workers</w:t>
      </w:r>
      <w:r>
        <w:rPr>
          <w:rFonts w:eastAsia="Times New Roman" w:cs="Times New Roman"/>
          <w:snapToGrid w:val="0"/>
          <w:szCs w:val="20"/>
        </w:rPr>
        <w:t>’</w:t>
      </w:r>
      <w:r w:rsidRPr="00F01C4F">
        <w:rPr>
          <w:rFonts w:eastAsia="Times New Roman" w:cs="Times New Roman"/>
          <w:snapToGrid w:val="0"/>
          <w:szCs w:val="20"/>
        </w:rPr>
        <w:t xml:space="preserve"> Compensation Law.</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B75160"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b/>
          <w:snapToGrid w:val="0"/>
          <w:szCs w:val="20"/>
        </w:rPr>
        <w:t>Time effective</w:t>
      </w: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7859" w:rsidRPr="00F01C4F"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01C4F">
        <w:rPr>
          <w:rFonts w:eastAsia="Times New Roman" w:cs="Times New Roman"/>
          <w:snapToGrid w:val="0"/>
          <w:szCs w:val="20"/>
        </w:rPr>
        <w:t>SECTION</w:t>
      </w:r>
      <w:r w:rsidRPr="00F01C4F">
        <w:rPr>
          <w:rFonts w:eastAsia="Times New Roman" w:cs="Times New Roman"/>
          <w:snapToGrid w:val="0"/>
          <w:szCs w:val="20"/>
        </w:rPr>
        <w:tab/>
        <w:t>9.</w:t>
      </w:r>
      <w:r w:rsidRPr="00F01C4F">
        <w:rPr>
          <w:rFonts w:eastAsia="Times New Roman" w:cs="Times New Roman"/>
          <w:snapToGrid w:val="0"/>
          <w:szCs w:val="20"/>
        </w:rPr>
        <w:tab/>
        <w:t>This joint resolution takes effect upon approval by the Governor, and its provisions apply to all civil and administrative causes of action that arise between March 13, 2020, and June 30, 2021, or one hundred eighty days after the final state of emergency is lifted for COVID</w:t>
      </w:r>
      <w:r>
        <w:rPr>
          <w:rFonts w:eastAsia="Times New Roman" w:cs="Times New Roman"/>
          <w:snapToGrid w:val="0"/>
          <w:szCs w:val="20"/>
        </w:rPr>
        <w:noBreakHyphen/>
      </w:r>
      <w:r w:rsidRPr="00F01C4F">
        <w:rPr>
          <w:rFonts w:eastAsia="Times New Roman" w:cs="Times New Roman"/>
          <w:snapToGrid w:val="0"/>
          <w:szCs w:val="20"/>
        </w:rPr>
        <w:t>19 in this State, whichever is later, and that are based upon facts that occurred during this time period.</w:t>
      </w: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C7859" w:rsidRDefault="00DC7859"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April, 2021.</w:t>
      </w:r>
    </w:p>
    <w:p w:rsidR="00DC7859" w:rsidRDefault="00DC7859" w:rsidP="00DC7859">
      <w:pPr>
        <w:jc w:val="both"/>
        <w:rPr>
          <w:color w:val="000000" w:themeColor="text1"/>
        </w:rPr>
      </w:pPr>
    </w:p>
    <w:p w:rsidR="00DC7859" w:rsidRDefault="00DC7859" w:rsidP="00DC7859">
      <w:pPr>
        <w:jc w:val="both"/>
        <w:rPr>
          <w:color w:val="000000" w:themeColor="text1"/>
        </w:rPr>
      </w:pPr>
      <w:r>
        <w:rPr>
          <w:color w:val="000000" w:themeColor="text1"/>
        </w:rPr>
        <w:t>Approved the 28</w:t>
      </w:r>
      <w:r w:rsidRPr="001D65C4">
        <w:rPr>
          <w:color w:val="000000" w:themeColor="text1"/>
          <w:vertAlign w:val="superscript"/>
        </w:rPr>
        <w:t>th</w:t>
      </w:r>
      <w:r>
        <w:rPr>
          <w:color w:val="000000" w:themeColor="text1"/>
        </w:rPr>
        <w:t xml:space="preserve"> day of April, 2021. </w:t>
      </w:r>
    </w:p>
    <w:p w:rsidR="00DC7859" w:rsidRDefault="00DC7859" w:rsidP="00DC7859">
      <w:pPr>
        <w:jc w:val="center"/>
        <w:rPr>
          <w:color w:val="000000" w:themeColor="text1"/>
        </w:rPr>
      </w:pPr>
    </w:p>
    <w:p w:rsidR="00DC7859" w:rsidRDefault="00DC7859" w:rsidP="00DC7859">
      <w:pPr>
        <w:jc w:val="center"/>
        <w:rPr>
          <w:color w:val="000000" w:themeColor="text1"/>
        </w:rPr>
      </w:pPr>
      <w:r>
        <w:rPr>
          <w:color w:val="000000" w:themeColor="text1"/>
        </w:rPr>
        <w:t>__________</w:t>
      </w:r>
    </w:p>
    <w:p w:rsidR="00D73567" w:rsidRPr="0010599B" w:rsidRDefault="00D73567" w:rsidP="00DC7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73567" w:rsidRPr="0010599B" w:rsidSect="00D73567">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29B" w:rsidRDefault="00A9729B" w:rsidP="007D5FAC">
      <w:r>
        <w:separator/>
      </w:r>
    </w:p>
  </w:endnote>
  <w:endnote w:type="continuationSeparator" w:id="0">
    <w:p w:rsidR="00A9729B" w:rsidRDefault="00A9729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67" w:rsidRPr="00D73567" w:rsidRDefault="00D73567" w:rsidP="00D7356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C785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67" w:rsidRDefault="00D73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29B" w:rsidRDefault="00A9729B" w:rsidP="007D5FAC">
      <w:r>
        <w:separator/>
      </w:r>
    </w:p>
  </w:footnote>
  <w:footnote w:type="continuationSeparator" w:id="0">
    <w:p w:rsidR="00A9729B" w:rsidRDefault="00A9729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147"/>
    <w:docVar w:name="ActSecretary" w:val="Huth"/>
    <w:docVar w:name="ActSIdno" w:val="(40)  147AHB21"/>
    <w:docVar w:name="clipname" w:val="147AHB21"/>
    <w:docVar w:name="dvBillNumber" w:val="147"/>
    <w:docVar w:name="dvBillNumberPrefix" w:val="S"/>
    <w:docVar w:name="dvOriginalBody" w:val="Senate"/>
    <w:docVar w:name="OrigSENATEBillNo" w:val="147"/>
    <w:docVar w:name="SENATEACTFULLPATH" w:val="L:\COUNCIL\ACTS\147AHB21.DOCX"/>
    <w:docVar w:name="WhatActtype" w:val="A JOINT RESOLUTION"/>
  </w:docVars>
  <w:rsids>
    <w:rsidRoot w:val="00A9729B"/>
    <w:rsid w:val="00002DE0"/>
    <w:rsid w:val="00017F29"/>
    <w:rsid w:val="00020349"/>
    <w:rsid w:val="00021B0B"/>
    <w:rsid w:val="00030487"/>
    <w:rsid w:val="00040C05"/>
    <w:rsid w:val="0004579B"/>
    <w:rsid w:val="00051B4F"/>
    <w:rsid w:val="00055653"/>
    <w:rsid w:val="000673E4"/>
    <w:rsid w:val="0007088D"/>
    <w:rsid w:val="000731E9"/>
    <w:rsid w:val="00074565"/>
    <w:rsid w:val="00075AE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599B"/>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3983"/>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37C6A"/>
    <w:rsid w:val="0034356D"/>
    <w:rsid w:val="0035688F"/>
    <w:rsid w:val="00360108"/>
    <w:rsid w:val="00360D70"/>
    <w:rsid w:val="00364D3F"/>
    <w:rsid w:val="00366494"/>
    <w:rsid w:val="00370DA1"/>
    <w:rsid w:val="00372564"/>
    <w:rsid w:val="00372FF8"/>
    <w:rsid w:val="003762ED"/>
    <w:rsid w:val="0038005A"/>
    <w:rsid w:val="003803CD"/>
    <w:rsid w:val="00392293"/>
    <w:rsid w:val="0039655A"/>
    <w:rsid w:val="00396C58"/>
    <w:rsid w:val="003973D9"/>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2B62"/>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55CD"/>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29FB"/>
    <w:rsid w:val="00696C4D"/>
    <w:rsid w:val="00696F5B"/>
    <w:rsid w:val="006A4214"/>
    <w:rsid w:val="006A5B40"/>
    <w:rsid w:val="006A65C8"/>
    <w:rsid w:val="006A6F1D"/>
    <w:rsid w:val="006A7D8A"/>
    <w:rsid w:val="006B263A"/>
    <w:rsid w:val="006B265D"/>
    <w:rsid w:val="006B4FA6"/>
    <w:rsid w:val="006C7535"/>
    <w:rsid w:val="006C7D00"/>
    <w:rsid w:val="006C7DDE"/>
    <w:rsid w:val="006E6C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7F7490"/>
    <w:rsid w:val="00800AD0"/>
    <w:rsid w:val="00801009"/>
    <w:rsid w:val="00804053"/>
    <w:rsid w:val="00821AAF"/>
    <w:rsid w:val="00832F5E"/>
    <w:rsid w:val="00834B27"/>
    <w:rsid w:val="00836D7F"/>
    <w:rsid w:val="00841A98"/>
    <w:rsid w:val="00841BFC"/>
    <w:rsid w:val="008449B6"/>
    <w:rsid w:val="008457DB"/>
    <w:rsid w:val="00855672"/>
    <w:rsid w:val="00860CD2"/>
    <w:rsid w:val="00865315"/>
    <w:rsid w:val="00865A3F"/>
    <w:rsid w:val="008674BA"/>
    <w:rsid w:val="00870435"/>
    <w:rsid w:val="008733F2"/>
    <w:rsid w:val="008746A0"/>
    <w:rsid w:val="00875B4B"/>
    <w:rsid w:val="00877295"/>
    <w:rsid w:val="008836A5"/>
    <w:rsid w:val="00892AF7"/>
    <w:rsid w:val="008A3C50"/>
    <w:rsid w:val="008B16B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059D"/>
    <w:rsid w:val="00953BF7"/>
    <w:rsid w:val="009560AB"/>
    <w:rsid w:val="009631DC"/>
    <w:rsid w:val="009670BA"/>
    <w:rsid w:val="00971351"/>
    <w:rsid w:val="0097332E"/>
    <w:rsid w:val="00974FD7"/>
    <w:rsid w:val="00980444"/>
    <w:rsid w:val="00980BCA"/>
    <w:rsid w:val="00982E93"/>
    <w:rsid w:val="00990677"/>
    <w:rsid w:val="00997D30"/>
    <w:rsid w:val="009A1A29"/>
    <w:rsid w:val="009A31B6"/>
    <w:rsid w:val="009A467A"/>
    <w:rsid w:val="009B0FA5"/>
    <w:rsid w:val="009B6EA6"/>
    <w:rsid w:val="009C170D"/>
    <w:rsid w:val="009D0B32"/>
    <w:rsid w:val="009D75E7"/>
    <w:rsid w:val="009F3D27"/>
    <w:rsid w:val="009F42DA"/>
    <w:rsid w:val="00A00557"/>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29B"/>
    <w:rsid w:val="00A9741D"/>
    <w:rsid w:val="00A9744F"/>
    <w:rsid w:val="00AA3A5F"/>
    <w:rsid w:val="00AA3FFC"/>
    <w:rsid w:val="00AA464A"/>
    <w:rsid w:val="00AA4D72"/>
    <w:rsid w:val="00AA64F5"/>
    <w:rsid w:val="00AA73CD"/>
    <w:rsid w:val="00AB1AB5"/>
    <w:rsid w:val="00AB2F1E"/>
    <w:rsid w:val="00AB355F"/>
    <w:rsid w:val="00AC0BD6"/>
    <w:rsid w:val="00AC14ED"/>
    <w:rsid w:val="00AC47A8"/>
    <w:rsid w:val="00AC670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75160"/>
    <w:rsid w:val="00B80A34"/>
    <w:rsid w:val="00B83DA1"/>
    <w:rsid w:val="00B846E9"/>
    <w:rsid w:val="00BB1593"/>
    <w:rsid w:val="00BB43F6"/>
    <w:rsid w:val="00BB7B1B"/>
    <w:rsid w:val="00BC5FF9"/>
    <w:rsid w:val="00BE36EB"/>
    <w:rsid w:val="00BE41F8"/>
    <w:rsid w:val="00BF1B60"/>
    <w:rsid w:val="00BF2034"/>
    <w:rsid w:val="00BF33CD"/>
    <w:rsid w:val="00BF352D"/>
    <w:rsid w:val="00BF6E92"/>
    <w:rsid w:val="00BF74AC"/>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6D9"/>
    <w:rsid w:val="00C97CB8"/>
    <w:rsid w:val="00CA23B8"/>
    <w:rsid w:val="00CA4CD7"/>
    <w:rsid w:val="00CB12FE"/>
    <w:rsid w:val="00CB678F"/>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3567"/>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859"/>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D7ED7"/>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3A6F"/>
    <w:rsid w:val="00F44E35"/>
    <w:rsid w:val="00F509CF"/>
    <w:rsid w:val="00F51775"/>
    <w:rsid w:val="00F54582"/>
    <w:rsid w:val="00F61884"/>
    <w:rsid w:val="00F627EF"/>
    <w:rsid w:val="00F669CB"/>
    <w:rsid w:val="00F66E0E"/>
    <w:rsid w:val="00F721C4"/>
    <w:rsid w:val="00F7296A"/>
    <w:rsid w:val="00F846B2"/>
    <w:rsid w:val="00F86999"/>
    <w:rsid w:val="00FA1013"/>
    <w:rsid w:val="00FA7E14"/>
    <w:rsid w:val="00FB1A6A"/>
    <w:rsid w:val="00FB471B"/>
    <w:rsid w:val="00FC380D"/>
    <w:rsid w:val="00FD1AC7"/>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DEC1B18-D2FC-4B45-A797-4C3E9BCB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735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97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6D9"/>
    <w:rPr>
      <w:rFonts w:ascii="Segoe UI" w:hAnsi="Segoe UI" w:cs="Segoe UI"/>
      <w:sz w:val="18"/>
      <w:szCs w:val="18"/>
    </w:rPr>
  </w:style>
  <w:style w:type="table" w:styleId="TableGrid">
    <w:name w:val="Table Grid"/>
    <w:basedOn w:val="TableNormal"/>
    <w:uiPriority w:val="59"/>
    <w:rsid w:val="00980BC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7356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A2B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12.docx" TargetMode="External"/><Relationship Id="rId13" Type="http://schemas.openxmlformats.org/officeDocument/2006/relationships/hyperlink" Target="file:///h:\sj\20210218.docx" TargetMode="External"/><Relationship Id="rId18" Type="http://schemas.openxmlformats.org/officeDocument/2006/relationships/hyperlink" Target="file:///h:\hj\20210302.docx" TargetMode="External"/><Relationship Id="rId26" Type="http://schemas.openxmlformats.org/officeDocument/2006/relationships/hyperlink" Target="file:///p:\pprever\2021-22\147_20210211.docx" TargetMode="External"/><Relationship Id="rId3" Type="http://schemas.openxmlformats.org/officeDocument/2006/relationships/settings" Target="settings.xml"/><Relationship Id="rId21" Type="http://schemas.openxmlformats.org/officeDocument/2006/relationships/hyperlink" Target="file:///h:\hj\20210422.docx" TargetMode="External"/><Relationship Id="rId34" Type="http://schemas.openxmlformats.org/officeDocument/2006/relationships/theme" Target="theme/theme1.xml"/><Relationship Id="rId7" Type="http://schemas.openxmlformats.org/officeDocument/2006/relationships/hyperlink" Target="file:///h:\sj\20210112.docx" TargetMode="External"/><Relationship Id="rId12" Type="http://schemas.openxmlformats.org/officeDocument/2006/relationships/hyperlink" Target="file:///h:\sj\20210218.docx" TargetMode="External"/><Relationship Id="rId17" Type="http://schemas.openxmlformats.org/officeDocument/2006/relationships/hyperlink" Target="file:///h:\hj\20210302.docx" TargetMode="External"/><Relationship Id="rId25" Type="http://schemas.openxmlformats.org/officeDocument/2006/relationships/hyperlink" Target="file:///p:\pprever\2021-22\147_20201209.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225.docx" TargetMode="External"/><Relationship Id="rId20" Type="http://schemas.openxmlformats.org/officeDocument/2006/relationships/hyperlink" Target="file:///h:\hj\20210422.docx" TargetMode="External"/><Relationship Id="rId29" Type="http://schemas.openxmlformats.org/officeDocument/2006/relationships/hyperlink" Target="file:///p:\pprever\2021-22\147_202102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218.docx" TargetMode="External"/><Relationship Id="rId24" Type="http://schemas.openxmlformats.org/officeDocument/2006/relationships/hyperlink" Target="http://www.scstatehouse.gov/billsearch.php?billnumbers=147&amp;session=124&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225.docx" TargetMode="External"/><Relationship Id="rId23" Type="http://schemas.openxmlformats.org/officeDocument/2006/relationships/hyperlink" Target="file:///h:\hj\20210423.docx" TargetMode="External"/><Relationship Id="rId28" Type="http://schemas.openxmlformats.org/officeDocument/2006/relationships/hyperlink" Target="file:///p:\pprever\2021-22\147_20210218.docx" TargetMode="External"/><Relationship Id="rId10" Type="http://schemas.openxmlformats.org/officeDocument/2006/relationships/hyperlink" Target="file:///h:\sj\20210217.docx" TargetMode="External"/><Relationship Id="rId19" Type="http://schemas.openxmlformats.org/officeDocument/2006/relationships/hyperlink" Target="file:///h:\hj\20210421.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sj\20210211.docx" TargetMode="External"/><Relationship Id="rId14" Type="http://schemas.openxmlformats.org/officeDocument/2006/relationships/hyperlink" Target="file:///h:\sj\20210225.docx" TargetMode="External"/><Relationship Id="rId22" Type="http://schemas.openxmlformats.org/officeDocument/2006/relationships/hyperlink" Target="file:///h:\hj\20210422.docx" TargetMode="External"/><Relationship Id="rId27" Type="http://schemas.openxmlformats.org/officeDocument/2006/relationships/hyperlink" Target="file:///p:\pprever\2021-22\147_20210212.docx" TargetMode="External"/><Relationship Id="rId30" Type="http://schemas.openxmlformats.org/officeDocument/2006/relationships/hyperlink" Target="file:///p:\pprever\2021-22\147_202104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59661-6CED-4187-A079-2650E206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1755</Words>
  <Characters>9514</Characters>
  <Application>Microsoft Office Word</Application>
  <DocSecurity>0</DocSecurity>
  <Lines>864</Lines>
  <Paragraphs>469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147: SC COVID-19 Liability Safe Harbor Act - South Carolina Legislature Online</dc:title>
  <dc:subject/>
  <dc:creator>Bonnie Huth</dc:creator>
  <cp:keywords/>
  <dc:description/>
  <cp:lastModifiedBy>Danny Crook</cp:lastModifiedBy>
  <cp:revision>2</cp:revision>
  <cp:lastPrinted>2021-04-27T16:07:00Z</cp:lastPrinted>
  <dcterms:created xsi:type="dcterms:W3CDTF">2021-07-28T15:16:00Z</dcterms:created>
  <dcterms:modified xsi:type="dcterms:W3CDTF">2021-07-28T15:16:00Z</dcterms:modified>
</cp:coreProperties>
</file>