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E45" w:rsidRDefault="00676E45" w:rsidP="00676E45">
      <w:pPr>
        <w:widowControl w:val="0"/>
        <w:jc w:val="center"/>
      </w:pPr>
      <w:r w:rsidRPr="00676E45">
        <w:rPr>
          <w:b/>
        </w:rPr>
        <w:t>South Carolina General Assembly</w:t>
      </w:r>
    </w:p>
    <w:p w:rsidR="00676E45" w:rsidRDefault="00676E45" w:rsidP="00676E45">
      <w:pPr>
        <w:widowControl w:val="0"/>
        <w:jc w:val="center"/>
      </w:pPr>
      <w:r>
        <w:t>124th Session, 2021-2022</w:t>
      </w:r>
    </w:p>
    <w:p w:rsidR="00676E45" w:rsidRDefault="00676E45" w:rsidP="00676E45">
      <w:pPr>
        <w:widowControl w:val="0"/>
      </w:pPr>
    </w:p>
    <w:p w:rsidR="00676E45" w:rsidRDefault="00676E45" w:rsidP="00676E45">
      <w:pPr>
        <w:widowControl w:val="0"/>
        <w:rPr>
          <w:b/>
        </w:rPr>
      </w:pPr>
      <w:r w:rsidRPr="00676E45">
        <w:rPr>
          <w:b/>
        </w:rPr>
        <w:t>S.</w:t>
      </w:r>
      <w:r>
        <w:rPr>
          <w:b/>
        </w:rPr>
        <w:t xml:space="preserve"> </w:t>
      </w:r>
      <w:r w:rsidRPr="00676E45">
        <w:rPr>
          <w:b/>
        </w:rPr>
        <w:t>209</w:t>
      </w:r>
    </w:p>
    <w:p w:rsidR="00676E45" w:rsidRDefault="00676E45" w:rsidP="00676E45">
      <w:pPr>
        <w:widowControl w:val="0"/>
        <w:rPr>
          <w:b/>
        </w:rPr>
      </w:pPr>
    </w:p>
    <w:p w:rsidR="00676E45" w:rsidRDefault="00676E45" w:rsidP="00676E45">
      <w:pPr>
        <w:widowControl w:val="0"/>
      </w:pPr>
      <w:r w:rsidRPr="00676E45">
        <w:rPr>
          <w:b/>
        </w:rPr>
        <w:t>STATUS INFORMATION</w:t>
      </w:r>
    </w:p>
    <w:p w:rsidR="00676E45" w:rsidRDefault="00676E45" w:rsidP="00676E45">
      <w:pPr>
        <w:widowControl w:val="0"/>
      </w:pPr>
    </w:p>
    <w:p w:rsidR="00676E45" w:rsidRDefault="00676E45" w:rsidP="00676E45">
      <w:pPr>
        <w:widowControl w:val="0"/>
      </w:pPr>
      <w:r>
        <w:t>General Bill</w:t>
      </w:r>
    </w:p>
    <w:p w:rsidR="00676E45" w:rsidRDefault="00676E45" w:rsidP="00676E45">
      <w:pPr>
        <w:widowControl w:val="0"/>
      </w:pPr>
      <w:r>
        <w:t>Sponsors: Senator Hembree</w:t>
      </w:r>
    </w:p>
    <w:p w:rsidR="00676E45" w:rsidRDefault="00676E45" w:rsidP="00676E45">
      <w:pPr>
        <w:widowControl w:val="0"/>
      </w:pPr>
      <w:r>
        <w:t>Document Path: l:\s-res\gh\010civi.sp.gh.docx</w:t>
      </w:r>
    </w:p>
    <w:p w:rsidR="00676E45" w:rsidRDefault="00676E45" w:rsidP="00676E45">
      <w:pPr>
        <w:widowControl w:val="0"/>
      </w:pPr>
    </w:p>
    <w:p w:rsidR="005B75A9" w:rsidRDefault="005B75A9" w:rsidP="00676E45">
      <w:pPr>
        <w:widowControl w:val="0"/>
      </w:pPr>
      <w:r>
        <w:t>Introduced in the Senate on January 12, 2021</w:t>
      </w:r>
    </w:p>
    <w:p w:rsidR="005B75A9" w:rsidRPr="005B75A9" w:rsidRDefault="005B75A9" w:rsidP="00676E45">
      <w:pPr>
        <w:widowControl w:val="0"/>
      </w:pPr>
      <w:r>
        <w:t xml:space="preserve">Currently residing in the Senate Committee on </w:t>
      </w:r>
      <w:r w:rsidRPr="005B75A9">
        <w:rPr>
          <w:b/>
        </w:rPr>
        <w:t>Judiciary</w:t>
      </w:r>
    </w:p>
    <w:p w:rsidR="005B75A9" w:rsidRDefault="005B75A9" w:rsidP="00676E45">
      <w:pPr>
        <w:widowControl w:val="0"/>
      </w:pPr>
    </w:p>
    <w:p w:rsidR="00676E45" w:rsidRDefault="004440BD" w:rsidP="00676E45">
      <w:pPr>
        <w:widowControl w:val="0"/>
      </w:pPr>
      <w:r>
        <w:t>Summary: Forfeitures</w:t>
      </w:r>
    </w:p>
    <w:p w:rsidR="00676E45" w:rsidRDefault="00676E45" w:rsidP="00676E45">
      <w:pPr>
        <w:widowControl w:val="0"/>
      </w:pPr>
    </w:p>
    <w:p w:rsidR="00676E45" w:rsidRDefault="00676E45" w:rsidP="00676E45">
      <w:pPr>
        <w:widowControl w:val="0"/>
      </w:pPr>
    </w:p>
    <w:p w:rsidR="00676E45" w:rsidRDefault="00676E45" w:rsidP="00676E45">
      <w:pPr>
        <w:widowControl w:val="0"/>
        <w:tabs>
          <w:tab w:val="center" w:pos="590"/>
          <w:tab w:val="center" w:pos="1440"/>
          <w:tab w:val="left" w:pos="1872"/>
          <w:tab w:val="left" w:pos="9187"/>
        </w:tabs>
      </w:pPr>
      <w:r w:rsidRPr="00676E45">
        <w:rPr>
          <w:b/>
        </w:rPr>
        <w:t>HISTORY OF LEGISLATIVE ACTIONS</w:t>
      </w:r>
    </w:p>
    <w:p w:rsidR="00676E45" w:rsidRDefault="00676E45" w:rsidP="00676E45">
      <w:pPr>
        <w:widowControl w:val="0"/>
        <w:tabs>
          <w:tab w:val="center" w:pos="590"/>
          <w:tab w:val="center" w:pos="1440"/>
          <w:tab w:val="left" w:pos="1872"/>
          <w:tab w:val="left" w:pos="9187"/>
        </w:tabs>
      </w:pPr>
    </w:p>
    <w:p w:rsidR="00676E45" w:rsidRPr="00676E45" w:rsidRDefault="00676E45" w:rsidP="00676E45">
      <w:pPr>
        <w:widowControl w:val="0"/>
        <w:tabs>
          <w:tab w:val="center" w:pos="590"/>
          <w:tab w:val="center" w:pos="1440"/>
          <w:tab w:val="left" w:pos="1872"/>
          <w:tab w:val="left" w:pos="9187"/>
        </w:tabs>
      </w:pPr>
      <w:r w:rsidRPr="00676E45">
        <w:rPr>
          <w:u w:val="single"/>
        </w:rPr>
        <w:tab/>
        <w:t>Date</w:t>
      </w:r>
      <w:r w:rsidRPr="00676E45">
        <w:rPr>
          <w:u w:val="single"/>
        </w:rPr>
        <w:tab/>
        <w:t>Body</w:t>
      </w:r>
      <w:r w:rsidRPr="00676E45">
        <w:rPr>
          <w:u w:val="single"/>
        </w:rPr>
        <w:tab/>
        <w:t>Action Description with journal page number</w:t>
      </w:r>
      <w:r w:rsidRPr="00676E45">
        <w:rPr>
          <w:u w:val="single"/>
        </w:rPr>
        <w:tab/>
      </w:r>
    </w:p>
    <w:p w:rsidR="00614B89" w:rsidRDefault="00614B89" w:rsidP="00614B89">
      <w:pPr>
        <w:widowControl w:val="0"/>
        <w:tabs>
          <w:tab w:val="right" w:pos="1008"/>
          <w:tab w:val="left" w:pos="1152"/>
          <w:tab w:val="left" w:pos="1872"/>
          <w:tab w:val="left" w:pos="9187"/>
        </w:tabs>
        <w:ind w:left="2088" w:hanging="2088"/>
      </w:pPr>
      <w:r>
        <w:tab/>
        <w:t>12/9/2020</w:t>
      </w:r>
      <w:r>
        <w:tab/>
        <w:t>Senate</w:t>
      </w:r>
      <w:r>
        <w:tab/>
        <w:t>Prefiled</w:t>
      </w:r>
    </w:p>
    <w:p w:rsidR="00614B89" w:rsidRDefault="00614B89" w:rsidP="00614B8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B299A">
        <w:rPr>
          <w:b/>
        </w:rPr>
        <w:t>Judiciary</w:t>
      </w:r>
    </w:p>
    <w:p w:rsidR="00614B89" w:rsidRDefault="00614B89" w:rsidP="00614B89">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1B299A">
          <w:rPr>
            <w:rStyle w:val="Hyperlink"/>
          </w:rPr>
          <w:t>Senate Journal</w:t>
        </w:r>
        <w:r w:rsidRPr="001B299A">
          <w:rPr>
            <w:rStyle w:val="Hyperlink"/>
          </w:rPr>
          <w:noBreakHyphen/>
          <w:t>page 217</w:t>
        </w:r>
      </w:hyperlink>
      <w:r>
        <w:t>)</w:t>
      </w:r>
    </w:p>
    <w:p w:rsidR="00614B89" w:rsidRDefault="00614B89" w:rsidP="00614B8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B299A">
        <w:rPr>
          <w:b/>
        </w:rPr>
        <w:t>Judiciary</w:t>
      </w:r>
      <w:r>
        <w:t xml:space="preserve"> (</w:t>
      </w:r>
      <w:hyperlink r:id="rId8" w:history="1">
        <w:r w:rsidRPr="001B299A">
          <w:rPr>
            <w:rStyle w:val="Hyperlink"/>
          </w:rPr>
          <w:t>Senate Journal</w:t>
        </w:r>
        <w:r w:rsidRPr="001B299A">
          <w:rPr>
            <w:rStyle w:val="Hyperlink"/>
          </w:rPr>
          <w:noBreakHyphen/>
          <w:t>page 217</w:t>
        </w:r>
      </w:hyperlink>
      <w:r>
        <w:t>)</w:t>
      </w:r>
    </w:p>
    <w:p w:rsidR="00614B89" w:rsidRDefault="00614B89" w:rsidP="00614B89">
      <w:pPr>
        <w:widowControl w:val="0"/>
        <w:tabs>
          <w:tab w:val="right" w:pos="1008"/>
          <w:tab w:val="left" w:pos="1152"/>
          <w:tab w:val="left" w:pos="1872"/>
          <w:tab w:val="left" w:pos="9187"/>
        </w:tabs>
        <w:ind w:left="2088" w:hanging="2088"/>
      </w:pPr>
    </w:p>
    <w:p w:rsidR="00676E45" w:rsidRDefault="00676E45" w:rsidP="00676E45">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676E45">
          <w:rPr>
            <w:rStyle w:val="Hyperlink"/>
          </w:rPr>
          <w:t>legislative information</w:t>
        </w:r>
      </w:hyperlink>
      <w:r>
        <w:t xml:space="preserve"> at the website</w:t>
      </w:r>
    </w:p>
    <w:p w:rsidR="00676E45" w:rsidRDefault="00676E45" w:rsidP="00676E45">
      <w:pPr>
        <w:widowControl w:val="0"/>
        <w:tabs>
          <w:tab w:val="right" w:pos="1008"/>
          <w:tab w:val="left" w:pos="1152"/>
          <w:tab w:val="left" w:pos="1872"/>
          <w:tab w:val="left" w:pos="9187"/>
        </w:tabs>
        <w:ind w:left="2088" w:hanging="2088"/>
      </w:pPr>
    </w:p>
    <w:p w:rsidR="00676E45" w:rsidRPr="00676E45" w:rsidRDefault="00676E45" w:rsidP="00676E45">
      <w:pPr>
        <w:widowControl w:val="0"/>
        <w:tabs>
          <w:tab w:val="right" w:pos="1008"/>
          <w:tab w:val="left" w:pos="1152"/>
          <w:tab w:val="left" w:pos="1872"/>
          <w:tab w:val="left" w:pos="9187"/>
        </w:tabs>
        <w:ind w:left="2088" w:hanging="2088"/>
      </w:pPr>
    </w:p>
    <w:p w:rsidR="00676E45" w:rsidRDefault="00676E45" w:rsidP="00676E45">
      <w:pPr>
        <w:widowControl w:val="0"/>
      </w:pPr>
      <w:r w:rsidRPr="00676E45">
        <w:rPr>
          <w:b/>
        </w:rPr>
        <w:t>VERSIONS OF THIS BILL</w:t>
      </w:r>
    </w:p>
    <w:p w:rsidR="00676E45" w:rsidRDefault="00676E45" w:rsidP="00676E45">
      <w:pPr>
        <w:widowControl w:val="0"/>
      </w:pPr>
    </w:p>
    <w:p w:rsidR="00676E45" w:rsidRDefault="00C2379F" w:rsidP="00676E45">
      <w:pPr>
        <w:widowControl w:val="0"/>
      </w:pPr>
      <w:hyperlink r:id="rId10" w:history="1">
        <w:r w:rsidR="00676E45">
          <w:rPr>
            <w:rStyle w:val="Hyperlink"/>
          </w:rPr>
          <w:t>12/9/2020</w:t>
        </w:r>
      </w:hyperlink>
    </w:p>
    <w:p w:rsidR="00676E45" w:rsidRDefault="00676E45" w:rsidP="00676E45"/>
    <w:p w:rsidR="00676E45" w:rsidRDefault="00676E45" w:rsidP="00676E45">
      <w:pPr>
        <w:sectPr w:rsidR="00676E45" w:rsidSect="00676E45">
          <w:pgSz w:w="12240" w:h="15840" w:code="1"/>
          <w:pgMar w:top="1080" w:right="1440" w:bottom="1080" w:left="1440" w:header="720" w:footer="720" w:gutter="0"/>
          <w:cols w:space="720"/>
          <w:noEndnote/>
          <w:docGrid w:linePitch="360"/>
        </w:sectPr>
      </w:pPr>
    </w:p>
    <w:p w:rsidR="00653B36" w:rsidRPr="00522CE0" w:rsidRDefault="00653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4E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Pr>
          <w:rFonts w:eastAsia="Times New Roman"/>
        </w:rPr>
        <w:t>TO AMEND SECTION 44-53-520(</w:t>
      </w:r>
      <w:r w:rsidR="005246B9">
        <w:rPr>
          <w:rFonts w:eastAsia="Times New Roman"/>
        </w:rPr>
        <w:t>a</w:t>
      </w:r>
      <w:r>
        <w:rPr>
          <w:rFonts w:eastAsia="Times New Roman"/>
        </w:rPr>
        <w:t xml:space="preserve">) OF THE 1976 CODE, RELATING TO FORFEITURES, TO DELETE PROVISIONS SUBJECT TO FORFEITURE, TO PROVIDE </w:t>
      </w:r>
      <w:r w:rsidR="00330332">
        <w:rPr>
          <w:rFonts w:eastAsia="Times New Roman"/>
        </w:rPr>
        <w:t xml:space="preserve">THE </w:t>
      </w:r>
      <w:r>
        <w:rPr>
          <w:rFonts w:eastAsia="Times New Roman"/>
        </w:rPr>
        <w:t xml:space="preserve">TERMS FOR MOTOR VEHICLE FORFEITURE, TO DELETE SPECIFIC REFERENCES TO ILLEGAL SUBSTANCES AND ADD REFERENCES TO ILLEGAL SUBSTANCES GENERALLY, AND TO PROVIDE FOR PROBABLE CAUSE FOR MONIES SEIZED; AND TO AMEND SECTION 44-53-530 OF THE 1976 CODE, RELATING TO </w:t>
      </w:r>
      <w:r w:rsidRPr="00236A80">
        <w:t>FORFEITURE PROCEDURES</w:t>
      </w:r>
      <w:r>
        <w:t>,</w:t>
      </w:r>
      <w:r w:rsidRPr="00236A80">
        <w:t xml:space="preserve"> </w:t>
      </w:r>
      <w:r w:rsidR="00330332">
        <w:t xml:space="preserve">THE </w:t>
      </w:r>
      <w:r w:rsidRPr="00236A80">
        <w:t>DISPOSITION OF FORFEITED ITEMS</w:t>
      </w:r>
      <w:r>
        <w:t>, AND THE</w:t>
      </w:r>
      <w:r w:rsidRPr="00236A80">
        <w:t xml:space="preserve"> DISPOSITION OF </w:t>
      </w:r>
      <w:r w:rsidR="00330332">
        <w:t xml:space="preserve">THE </w:t>
      </w:r>
      <w:r w:rsidRPr="00236A80">
        <w:t>PROCEEDS OF SALES</w:t>
      </w:r>
      <w:r>
        <w:t>, TO PROVIDE FOR COURT HEARINGS AND PROCEDURES FOR FORFEITED ITEMS, AND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D4E29" w:rsidRDefault="008D4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D4E29" w:rsidRDefault="008D4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2E31" w:rsidRDefault="008D4E29"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92E31">
        <w:rPr>
          <w:rFonts w:eastAsia="Times New Roman"/>
        </w:rPr>
        <w:t>Section 44-53-520(a) of the 1976 Code is amended to read:</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F703B1">
        <w:t>Section 44</w:t>
      </w:r>
      <w:r w:rsidR="00EA68C5">
        <w:noBreakHyphen/>
      </w:r>
      <w:r w:rsidRPr="00F703B1">
        <w:t>53</w:t>
      </w:r>
      <w:r w:rsidR="00EA68C5">
        <w:noBreakHyphen/>
      </w:r>
      <w:r w:rsidRPr="00F703B1">
        <w:t>520.</w:t>
      </w:r>
      <w:r w:rsidRPr="00236A80">
        <w:tab/>
        <w:t>(a)</w:t>
      </w:r>
      <w:r w:rsidR="005246B9">
        <w:tab/>
      </w:r>
      <w:r w:rsidRPr="00236A80">
        <w:t>The following are subject to forfeiture:</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236A80">
        <w:t>all controlled substances which have been manufactured, distributed, dispensed, or acquired in violation of this article;</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F703B1">
        <w:rPr>
          <w:strike/>
        </w:rPr>
        <w:t>all raw materials, products, and equipment of any kind which are used, or which have been positioned for use, in manufacturing, producing, compounding, processing, delivering, importing, or exporting any controlled substance in violation of this article;</w:t>
      </w:r>
    </w:p>
    <w:p w:rsidR="00C92E31" w:rsidRPr="00F703B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36A80">
        <w:tab/>
      </w:r>
      <w:r w:rsidRPr="00236A80">
        <w:tab/>
      </w:r>
      <w:r w:rsidRPr="00F703B1">
        <w:rPr>
          <w:strike/>
        </w:rPr>
        <w:t>(3)</w:t>
      </w:r>
      <w:r w:rsidRPr="00F703B1">
        <w:rPr>
          <w:strike/>
        </w:rPr>
        <w:tab/>
        <w:t>all property which is used, or which has been positioned for use, as a container for property described in items (1) or (2);</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lastRenderedPageBreak/>
        <w:tab/>
      </w:r>
      <w:r w:rsidRPr="00236A80">
        <w:tab/>
      </w:r>
      <w:r w:rsidRPr="00F703B1">
        <w:rPr>
          <w:strike/>
        </w:rPr>
        <w:t>(4)</w:t>
      </w:r>
      <w:r>
        <w:tab/>
      </w:r>
      <w:r w:rsidRPr="00231B91">
        <w:rPr>
          <w:strike/>
        </w:rPr>
        <w:t>All</w:t>
      </w:r>
      <w:r w:rsidRPr="00236A80">
        <w:t xml:space="preserve"> </w:t>
      </w:r>
      <w:r w:rsidR="00993B39">
        <w:rPr>
          <w:u w:val="single"/>
        </w:rPr>
        <w:t>all</w:t>
      </w:r>
      <w:r w:rsidR="00993B39">
        <w:t xml:space="preserve"> </w:t>
      </w:r>
      <w:r w:rsidRPr="00236A80">
        <w:t>property, both real and personal, which in any manner is knowingly used to facilitate production, manufacturing, distribution, sale, importation, exportation, or trafficking in various controlled substances as defined in this article;</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tab/>
      </w:r>
      <w:r w:rsidRPr="00236A80">
        <w:tab/>
      </w:r>
      <w:r w:rsidRPr="00F703B1">
        <w:rPr>
          <w:strike/>
        </w:rPr>
        <w:t>(5)</w:t>
      </w:r>
      <w:r>
        <w:rPr>
          <w:u w:val="single"/>
        </w:rPr>
        <w:t>(3)</w:t>
      </w:r>
      <w:r>
        <w:tab/>
      </w:r>
      <w:r w:rsidRPr="00236A80">
        <w:t xml:space="preserve">all books, records, and research products and materials, including formulas, microfilm, tapes, and data </w:t>
      </w:r>
      <w:r w:rsidRPr="00231B91">
        <w:rPr>
          <w:strike/>
        </w:rPr>
        <w:t>which</w:t>
      </w:r>
      <w:r w:rsidRPr="00236A80">
        <w:t xml:space="preserve"> </w:t>
      </w:r>
      <w:r w:rsidR="00993B39">
        <w:rPr>
          <w:u w:val="single"/>
        </w:rPr>
        <w:t>that</w:t>
      </w:r>
      <w:r w:rsidR="00993B39">
        <w:t xml:space="preserve"> </w:t>
      </w:r>
      <w:r w:rsidRPr="00236A80">
        <w:t>are used</w:t>
      </w:r>
      <w:r w:rsidRPr="00F703B1">
        <w:rPr>
          <w:strike/>
        </w:rPr>
        <w:t>, or which have been positioned for use,</w:t>
      </w:r>
      <w:r w:rsidRPr="00236A80">
        <w:t xml:space="preserve"> in violation of this article;</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03B1">
        <w:rPr>
          <w:strike/>
        </w:rPr>
        <w:t>(6)</w:t>
      </w:r>
      <w:r>
        <w:rPr>
          <w:u w:val="single"/>
        </w:rPr>
        <w:t>(4)</w:t>
      </w:r>
      <w:r>
        <w:tab/>
      </w:r>
      <w:r w:rsidRPr="00236A80">
        <w:t xml:space="preserve">all conveyances including, but not limited to, trailers, aircraft, motor vehicles, and watergoing vessels which are used </w:t>
      </w:r>
      <w:r w:rsidRPr="00450AC7">
        <w:rPr>
          <w:strike/>
        </w:rPr>
        <w:t>or intended for use</w:t>
      </w:r>
      <w:r w:rsidRPr="00D12EA1">
        <w:t xml:space="preserve"> </w:t>
      </w:r>
      <w:r w:rsidRPr="00236A80">
        <w:t>unlawfully to conceal, contain, or transport or facilitate the unlawful concealment, possession, containment, manufacture, or transportation of controlled substances and their compounds, except as otherwise provided, must be forfeited to the State. No motor vehicle may be forfeited to the State under this item unless it is used</w:t>
      </w:r>
      <w:r w:rsidRPr="00F703B1">
        <w:rPr>
          <w:strike/>
        </w:rPr>
        <w:t>, intended for use,</w:t>
      </w:r>
      <w:r w:rsidRPr="00236A80">
        <w:t xml:space="preserve"> or in any manner facilitates </w:t>
      </w:r>
      <w:r>
        <w:rPr>
          <w:u w:val="single"/>
        </w:rPr>
        <w:t>the distribution, manufacturing, or trafficking of an unlawful substance</w:t>
      </w:r>
      <w:r w:rsidRPr="00F703B1">
        <w:rPr>
          <w:strike/>
        </w:rPr>
        <w:t xml:space="preserve"> a violation of Section 44</w:t>
      </w:r>
      <w:r w:rsidR="00EA68C5">
        <w:rPr>
          <w:strike/>
        </w:rPr>
        <w:noBreakHyphen/>
      </w:r>
      <w:r w:rsidRPr="00F703B1">
        <w:rPr>
          <w:strike/>
        </w:rPr>
        <w:t>53</w:t>
      </w:r>
      <w:r w:rsidR="00EA68C5">
        <w:rPr>
          <w:strike/>
        </w:rPr>
        <w:noBreakHyphen/>
      </w:r>
      <w:r w:rsidRPr="00F703B1">
        <w:rPr>
          <w:strike/>
        </w:rPr>
        <w:t>370(a), involving at least one pound or more of marijuana, one pound or more of hashish, more than four 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sidR="00EA68C5">
        <w:rPr>
          <w:strike/>
        </w:rPr>
        <w:noBreakHyphen/>
      </w:r>
      <w:r w:rsidRPr="00F703B1">
        <w:rPr>
          <w:strike/>
        </w:rPr>
        <w:t>53</w:t>
      </w:r>
      <w:r w:rsidR="00EA68C5">
        <w:rPr>
          <w:strike/>
        </w:rPr>
        <w:noBreakHyphen/>
      </w:r>
      <w:r w:rsidRPr="00F703B1">
        <w:rPr>
          <w:strike/>
        </w:rPr>
        <w:t>110, or unless it is used, intended for use, or in any manner facilitates a violation of Section 44</w:t>
      </w:r>
      <w:r w:rsidR="00EA68C5">
        <w:rPr>
          <w:strike/>
        </w:rPr>
        <w:noBreakHyphen/>
      </w:r>
      <w:r w:rsidRPr="00F703B1">
        <w:rPr>
          <w:strike/>
        </w:rPr>
        <w:t>53</w:t>
      </w:r>
      <w:r w:rsidR="00EA68C5">
        <w:rPr>
          <w:strike/>
        </w:rPr>
        <w:noBreakHyphen/>
      </w:r>
      <w:r w:rsidRPr="00F703B1">
        <w:rPr>
          <w:strike/>
        </w:rPr>
        <w:t>370(e) or fifteen tablets, capsules, dosage units, or the equivalent quantity of 3, 4</w:t>
      </w:r>
      <w:r w:rsidR="00EA68C5">
        <w:rPr>
          <w:strike/>
        </w:rPr>
        <w:noBreakHyphen/>
      </w:r>
      <w:r w:rsidRPr="00F703B1">
        <w:rPr>
          <w:strike/>
        </w:rPr>
        <w:t>methylenedioxymethamphetamine (MDMA)</w:t>
      </w:r>
      <w:r w:rsidRPr="00236A80">
        <w:t>;</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tab/>
      </w:r>
      <w:r w:rsidRPr="00236A80">
        <w:tab/>
      </w:r>
      <w:r w:rsidRPr="00F703B1">
        <w:rPr>
          <w:strike/>
        </w:rPr>
        <w:t>(7)</w:t>
      </w:r>
      <w:r>
        <w:rPr>
          <w:u w:val="single"/>
        </w:rPr>
        <w:t>(5)</w:t>
      </w:r>
      <w:r w:rsidRPr="00F703B1">
        <w:tab/>
      </w:r>
      <w:r w:rsidRPr="00236A80">
        <w:t>all property including, but not limited to, monies, negotiable instruments, securities, or other things of value furnished</w:t>
      </w:r>
      <w:r>
        <w:rPr>
          <w:u w:val="single"/>
        </w:rPr>
        <w:t>, received,</w:t>
      </w:r>
      <w:r w:rsidRPr="00236A80">
        <w:t xml:space="preserve"> or intended to be furnished </w:t>
      </w:r>
      <w:r>
        <w:rPr>
          <w:u w:val="single"/>
        </w:rPr>
        <w:t>or received</w:t>
      </w:r>
      <w:r>
        <w:t xml:space="preserve"> </w:t>
      </w:r>
      <w:r w:rsidRPr="00236A80">
        <w:t>by any person in exchange for a controlled substance, and all proceeds including, but not limited to, monies, and real and personal property traceable to any exchange;</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03B1">
        <w:rPr>
          <w:strike/>
        </w:rPr>
        <w:t>(8)</w:t>
      </w:r>
      <w:r>
        <w:rPr>
          <w:u w:val="single"/>
        </w:rPr>
        <w:t>(6)</w:t>
      </w:r>
      <w:r>
        <w:tab/>
      </w:r>
      <w:r w:rsidRPr="00236A80">
        <w:t xml:space="preserve">all monies seized in close proximity to forfeitable controlled substances, drug manufacturing, or distributing paraphernalia, </w:t>
      </w:r>
      <w:r>
        <w:rPr>
          <w:u w:val="single"/>
        </w:rPr>
        <w:t xml:space="preserve">provided that there is probable cause that such monies were obtained or used to facilitate unlawful activity involving the forfeitable controlled substances and </w:t>
      </w:r>
      <w:r w:rsidR="00993B39">
        <w:rPr>
          <w:u w:val="single"/>
        </w:rPr>
        <w:t xml:space="preserve">provided that </w:t>
      </w:r>
      <w:r>
        <w:rPr>
          <w:u w:val="single"/>
        </w:rPr>
        <w:t>mere presence is insufficient</w:t>
      </w:r>
      <w:r>
        <w:t xml:space="preserve"> </w:t>
      </w:r>
      <w:r w:rsidRPr="00F703B1">
        <w:rPr>
          <w:strike/>
        </w:rPr>
        <w:t>or in close proximity to forfeitable records of the importation, manufacturing, or distribution of controlled substances and all monies seized at the time of arrest or search involving violation of this article</w:t>
      </w:r>
      <w:r w:rsidRPr="00231B91">
        <w:t>.</w:t>
      </w:r>
      <w:r w:rsidRPr="00236A80">
        <w:t xml:space="preserve"> If the person from whom the monies were taken can establish to the satisfaction of a court of competent jurisdiction that the monies seized are not products of illegal acts, the monies must be returned pursuant to court order.</w:t>
      </w:r>
      <w:r w:rsidR="005246B9">
        <w:t>”</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44-53-530 of the 1976 Code is amended to read:</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44-53-530.</w:t>
      </w:r>
      <w:r>
        <w:rPr>
          <w:rFonts w:eastAsia="Times New Roman"/>
        </w:rPr>
        <w:tab/>
      </w:r>
      <w:r>
        <w:t>(a)</w:t>
      </w:r>
      <w:r>
        <w:rPr>
          <w:u w:val="single"/>
        </w:rPr>
        <w:t>(1)</w:t>
      </w:r>
      <w:r>
        <w:tab/>
      </w:r>
      <w:r w:rsidRPr="00236A80">
        <w:t>Forfeiture of property defined in Section 44</w:t>
      </w:r>
      <w:r w:rsidR="00EA68C5">
        <w:noBreakHyphen/>
      </w:r>
      <w:r w:rsidRPr="00236A80">
        <w:t>53</w:t>
      </w:r>
      <w:r w:rsidR="00EA68C5">
        <w:noBreakHyphen/>
      </w:r>
      <w:r w:rsidRPr="00236A80">
        <w:t xml:space="preserve">520 must be accomplished by petition of the Attorney General or his designee or the circuit solicitor or his designee to the </w:t>
      </w:r>
      <w:r>
        <w:rPr>
          <w:u w:val="single"/>
        </w:rPr>
        <w:t>non-jury</w:t>
      </w:r>
      <w:r>
        <w:t xml:space="preserve"> </w:t>
      </w:r>
      <w:r w:rsidRPr="00236A80">
        <w:t xml:space="preserve">court of common pleas for the jurisdiction where the items were seized. The petition must be submitted to the court within </w:t>
      </w:r>
      <w:r w:rsidRPr="00F703B1">
        <w:rPr>
          <w:strike/>
        </w:rPr>
        <w:t>a reasonable time period following</w:t>
      </w:r>
      <w:r w:rsidRPr="00236A80">
        <w:t xml:space="preserve"> </w:t>
      </w:r>
      <w:r>
        <w:rPr>
          <w:u w:val="single"/>
        </w:rPr>
        <w:t>fifteen days</w:t>
      </w:r>
      <w:r w:rsidR="00993B39">
        <w:rPr>
          <w:u w:val="single"/>
        </w:rPr>
        <w:t xml:space="preserve"> of</w:t>
      </w:r>
      <w:r>
        <w:t xml:space="preserve"> </w:t>
      </w:r>
      <w:r w:rsidRPr="00236A80">
        <w:t>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w:t>
      </w:r>
      <w:r>
        <w:t xml:space="preserve"> </w:t>
      </w:r>
      <w:r>
        <w:rPr>
          <w:u w:val="single"/>
        </w:rPr>
        <w:t>and any criminal charges associated with the seized property</w:t>
      </w:r>
      <w:r>
        <w:t>.</w:t>
      </w:r>
    </w:p>
    <w:p w:rsidR="00C92E31" w:rsidRPr="00D0485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tab/>
      </w:r>
      <w:r>
        <w:rPr>
          <w:u w:val="single"/>
        </w:rPr>
        <w:t>(2)</w:t>
      </w:r>
      <w:r>
        <w:tab/>
      </w:r>
      <w:r w:rsidRPr="00426E94">
        <w:rPr>
          <w:color w:val="000000" w:themeColor="text1"/>
          <w:u w:val="single" w:color="000000" w:themeColor="text1"/>
        </w:rPr>
        <w:t xml:space="preserve">Any forfeiture may be effected by </w:t>
      </w:r>
      <w:r w:rsidR="00DA5066">
        <w:rPr>
          <w:color w:val="000000" w:themeColor="text1"/>
          <w:u w:val="single" w:color="000000" w:themeColor="text1"/>
        </w:rPr>
        <w:t xml:space="preserve">a </w:t>
      </w:r>
      <w:r w:rsidRPr="00426E94">
        <w:rPr>
          <w:color w:val="000000" w:themeColor="text1"/>
          <w:u w:val="single" w:color="000000" w:themeColor="text1"/>
        </w:rPr>
        <w:t>consent order approved by the court without filing or serving pleadings or notices</w:t>
      </w:r>
      <w:r w:rsidR="00DA5066">
        <w:rPr>
          <w:color w:val="000000" w:themeColor="text1"/>
          <w:u w:val="single" w:color="000000" w:themeColor="text1"/>
        </w:rPr>
        <w:t>,</w:t>
      </w:r>
      <w:r w:rsidRPr="00426E94">
        <w:rPr>
          <w:color w:val="000000" w:themeColor="text1"/>
          <w:u w:val="single" w:color="000000" w:themeColor="text1"/>
        </w:rPr>
        <w:t xml:space="preserve"> provided that all owners and other persons with interests in the property, including participating law enforcement agencies, </w:t>
      </w:r>
      <w:r w:rsidR="00BB3A4A">
        <w:rPr>
          <w:color w:val="000000" w:themeColor="text1"/>
          <w:u w:val="single" w:color="000000" w:themeColor="text1"/>
        </w:rPr>
        <w:t xml:space="preserve">that are </w:t>
      </w:r>
      <w:r w:rsidRPr="00426E94">
        <w:rPr>
          <w:color w:val="000000" w:themeColor="text1"/>
          <w:u w:val="single" w:color="000000" w:themeColor="text1"/>
        </w:rPr>
        <w:t>entitled to notice under this section, except lienholders and agencies, consent to the forfeiture. The consent order must set forth the facts upon which the seizure was ma</w:t>
      </w:r>
      <w:r>
        <w:rPr>
          <w:color w:val="000000" w:themeColor="text1"/>
          <w:u w:val="single" w:color="000000" w:themeColor="text1"/>
        </w:rPr>
        <w:t xml:space="preserve">de. </w:t>
      </w:r>
      <w:r w:rsidRPr="00426E94">
        <w:rPr>
          <w:color w:val="000000" w:themeColor="text1"/>
          <w:u w:val="single" w:color="000000" w:themeColor="text1"/>
        </w:rPr>
        <w:t xml:space="preserve">The </w:t>
      </w:r>
      <w:r>
        <w:rPr>
          <w:color w:val="000000" w:themeColor="text1"/>
          <w:u w:val="single" w:color="000000" w:themeColor="text1"/>
        </w:rPr>
        <w:t>consent o</w:t>
      </w:r>
      <w:r w:rsidRPr="00426E94">
        <w:rPr>
          <w:color w:val="000000" w:themeColor="text1"/>
          <w:u w:val="single" w:color="000000" w:themeColor="text1"/>
        </w:rPr>
        <w:t>rder must describe the property and include</w:t>
      </w:r>
      <w:r w:rsidR="00650D65">
        <w:rPr>
          <w:color w:val="000000" w:themeColor="text1"/>
          <w:u w:val="single" w:color="000000" w:themeColor="text1"/>
        </w:rPr>
        <w:t xml:space="preserve"> the</w:t>
      </w:r>
      <w:r w:rsidRPr="00426E94">
        <w:rPr>
          <w:color w:val="000000" w:themeColor="text1"/>
          <w:u w:val="single" w:color="000000" w:themeColor="text1"/>
        </w:rPr>
        <w:t xml:space="preserve"> names of all owners of record and lienholders of record. Consent orders for the forfeiture of conveyances shall also include the make, model, and year of the conveyance</w:t>
      </w:r>
      <w:r w:rsidR="00650D65">
        <w:rPr>
          <w:color w:val="000000" w:themeColor="text1"/>
          <w:u w:val="single" w:color="000000" w:themeColor="text1"/>
        </w:rPr>
        <w:t>;</w:t>
      </w:r>
      <w:r w:rsidRPr="00426E94">
        <w:rPr>
          <w:color w:val="000000" w:themeColor="text1"/>
          <w:u w:val="single" w:color="000000" w:themeColor="text1"/>
        </w:rPr>
        <w:t xml:space="preserve"> the person in whose name the conveyance is registered</w:t>
      </w:r>
      <w:r w:rsidR="00650D65">
        <w:rPr>
          <w:color w:val="000000" w:themeColor="text1"/>
          <w:u w:val="single" w:color="000000" w:themeColor="text1"/>
        </w:rPr>
        <w:t>;</w:t>
      </w:r>
      <w:r w:rsidRPr="00426E94">
        <w:rPr>
          <w:color w:val="000000" w:themeColor="text1"/>
          <w:u w:val="single" w:color="000000" w:themeColor="text1"/>
        </w:rPr>
        <w:t xml:space="preserve"> and the person who holds the title to the conveyance. The petition shall set forth the type and quantity of the controlled substance involved</w:t>
      </w:r>
      <w:r w:rsidRPr="00231B91">
        <w:rPr>
          <w:color w:val="000000" w:themeColor="text1"/>
          <w:u w:val="single"/>
        </w:rPr>
        <w:t xml:space="preserve"> </w:t>
      </w:r>
      <w:r w:rsidRPr="00426E94">
        <w:rPr>
          <w:color w:val="000000" w:themeColor="text1"/>
          <w:u w:val="single" w:color="000000" w:themeColor="text1"/>
        </w:rPr>
        <w:t xml:space="preserve">and any criminal charges associated with the seized property. Disposition of the property may be accomplished by </w:t>
      </w:r>
      <w:r w:rsidR="00650D65">
        <w:rPr>
          <w:color w:val="000000" w:themeColor="text1"/>
          <w:u w:val="single" w:color="000000" w:themeColor="text1"/>
        </w:rPr>
        <w:t xml:space="preserve">the </w:t>
      </w:r>
      <w:r w:rsidRPr="00426E94">
        <w:rPr>
          <w:color w:val="000000" w:themeColor="text1"/>
          <w:u w:val="single" w:color="000000" w:themeColor="text1"/>
        </w:rPr>
        <w:t>consent of the petitioner and those agencies involved. Persons entitled to notice under this section may consent to some issues and have the judge d</w:t>
      </w:r>
      <w:r>
        <w:rPr>
          <w:color w:val="000000" w:themeColor="text1"/>
          <w:u w:val="single" w:color="000000" w:themeColor="text1"/>
        </w:rPr>
        <w:t xml:space="preserve">etermine the remaining issues. </w:t>
      </w:r>
      <w:r w:rsidRPr="00426E94">
        <w:rPr>
          <w:color w:val="000000" w:themeColor="text1"/>
          <w:u w:val="single" w:color="000000" w:themeColor="text1"/>
        </w:rPr>
        <w:t xml:space="preserve">All </w:t>
      </w:r>
      <w:r w:rsidR="00650D65">
        <w:rPr>
          <w:color w:val="000000" w:themeColor="text1"/>
          <w:u w:val="single" w:color="000000" w:themeColor="text1"/>
        </w:rPr>
        <w:t xml:space="preserve">of the </w:t>
      </w:r>
      <w:r w:rsidRPr="00426E94">
        <w:rPr>
          <w:color w:val="000000" w:themeColor="text1"/>
          <w:u w:val="single" w:color="000000" w:themeColor="text1"/>
        </w:rPr>
        <w:t xml:space="preserve">proceeds of property and cash forfeited by </w:t>
      </w:r>
      <w:r w:rsidR="00650D65">
        <w:rPr>
          <w:color w:val="000000" w:themeColor="text1"/>
          <w:u w:val="single" w:color="000000" w:themeColor="text1"/>
        </w:rPr>
        <w:t xml:space="preserve">a </w:t>
      </w:r>
      <w:r w:rsidRPr="00426E94">
        <w:rPr>
          <w:color w:val="000000" w:themeColor="text1"/>
          <w:u w:val="single" w:color="000000" w:themeColor="text1"/>
        </w:rPr>
        <w:t>consent order must be disposed of as provided in subsection (d) of this section.</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tab/>
      </w:r>
      <w:r w:rsidRPr="00236A80">
        <w:t xml:space="preserve">A copy of the petition must be sent to each law enforcement agency which has notified the petitioner of its involvement in effecting the seizure. </w:t>
      </w:r>
      <w:r>
        <w:rPr>
          <w:u w:val="single"/>
        </w:rPr>
        <w:t>A</w:t>
      </w:r>
      <w:r w:rsidR="00650D65">
        <w:rPr>
          <w:u w:val="single"/>
        </w:rPr>
        <w:t>n initial</w:t>
      </w:r>
      <w:r>
        <w:rPr>
          <w:u w:val="single"/>
        </w:rPr>
        <w:t xml:space="preserve"> hearing must be scheduled within sixty days of the filing of a petition. At the initial hearing, the judge shall review the petition and any affidavits presented and determine if the seizure is appropriate pursuant to this </w:t>
      </w:r>
      <w:r w:rsidR="00650D65">
        <w:rPr>
          <w:u w:val="single"/>
        </w:rPr>
        <w:t>a</w:t>
      </w:r>
      <w:r>
        <w:rPr>
          <w:u w:val="single"/>
        </w:rPr>
        <w:t>rticle. The judge may dismiss the petition, enter a default judgment confirming forfeiture, or continue the matter for a non-jury tri</w:t>
      </w:r>
      <w:r w:rsidR="00650D65">
        <w:rPr>
          <w:u w:val="single"/>
        </w:rPr>
        <w:t>a</w:t>
      </w:r>
      <w:r>
        <w:rPr>
          <w:u w:val="single"/>
        </w:rPr>
        <w:t>l proceeding.</w:t>
      </w:r>
      <w:r>
        <w:t xml:space="preserve"> </w:t>
      </w:r>
      <w:r w:rsidRPr="00236A80">
        <w:t>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36A80">
        <w:tab/>
      </w:r>
      <w:r>
        <w:rPr>
          <w:u w:val="single"/>
        </w:rPr>
        <w:t>(4)(</w:t>
      </w:r>
      <w:r w:rsidR="005246B9">
        <w:rPr>
          <w:u w:val="single"/>
        </w:rPr>
        <w:t>a</w:t>
      </w:r>
      <w:r>
        <w:rPr>
          <w:u w:val="single"/>
        </w:rPr>
        <w:t>)</w:t>
      </w:r>
      <w:r>
        <w:tab/>
      </w:r>
      <w:r w:rsidRPr="00D04851">
        <w:rPr>
          <w:strike/>
        </w:rPr>
        <w:t>The judge shall determine whether the property is subject to forfeiture and order the forfeiture confirmed.</w:t>
      </w:r>
      <w:r w:rsidRPr="00231B91">
        <w:t xml:space="preserve"> </w:t>
      </w:r>
      <w:r w:rsidRPr="00236A80">
        <w:t xml:space="preserve">If the judge finds </w:t>
      </w:r>
      <w:r>
        <w:rPr>
          <w:u w:val="single"/>
        </w:rPr>
        <w:t>or confirms</w:t>
      </w:r>
      <w:r>
        <w:t xml:space="preserve"> </w:t>
      </w:r>
      <w:r w:rsidRPr="00236A80">
        <w:t>a forfeiture, he shall then determine the lienholder's interest as provided in this article. The judge shall determine whether any property must be returned to a law enforcement agency pursuant to Section 44</w:t>
      </w:r>
      <w:r w:rsidR="00EA68C5">
        <w:noBreakHyphen/>
      </w:r>
      <w:r w:rsidRPr="00236A80">
        <w:t>53</w:t>
      </w:r>
      <w:r w:rsidR="00EA68C5">
        <w:noBreakHyphen/>
      </w:r>
      <w:r w:rsidRPr="00236A80">
        <w:t>582.</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tab/>
      </w:r>
      <w:r>
        <w:tab/>
      </w:r>
      <w:r>
        <w:tab/>
      </w:r>
      <w:r>
        <w:rPr>
          <w:u w:val="single"/>
        </w:rPr>
        <w:t>(</w:t>
      </w:r>
      <w:r w:rsidR="005246B9">
        <w:rPr>
          <w:u w:val="single"/>
        </w:rPr>
        <w:t>b</w:t>
      </w:r>
      <w:r>
        <w:rPr>
          <w:u w:val="single"/>
        </w:rPr>
        <w:t>)</w:t>
      </w:r>
      <w:r>
        <w:tab/>
      </w:r>
      <w:r w:rsidRPr="00236A80">
        <w:t xml:space="preserve">If there is a dispute as to the allocation of the proceeds of forfeited property among participating law enforcement agencies, this issue must be determined by the judge. The proceeds from a sale of property, conveyances, and equipment must be disposed of pursuant to subsection </w:t>
      </w:r>
      <w:r w:rsidRPr="00D04851">
        <w:rPr>
          <w:strike/>
        </w:rPr>
        <w:t>(e)</w:t>
      </w:r>
      <w:r>
        <w:rPr>
          <w:u w:val="single"/>
        </w:rPr>
        <w:t>(d)</w:t>
      </w:r>
      <w:r w:rsidRPr="00236A80">
        <w:t xml:space="preserve"> of this section.</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tab/>
      </w:r>
      <w:r>
        <w:tab/>
      </w:r>
      <w:r>
        <w:rPr>
          <w:u w:val="single"/>
        </w:rPr>
        <w:t>(5)</w:t>
      </w:r>
      <w:r>
        <w:tab/>
      </w:r>
      <w:r w:rsidRPr="00236A80">
        <w:t>All property, conveyances, and equipment not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Department of Administration.</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tab/>
      </w:r>
      <w:r>
        <w:tab/>
      </w:r>
      <w:r>
        <w:rPr>
          <w:u w:val="single"/>
        </w:rPr>
        <w:t>(6)</w:t>
      </w:r>
      <w:r>
        <w:tab/>
      </w:r>
      <w:r w:rsidRPr="00236A80">
        <w:t>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236A80">
        <w:t>If the property is seized by a state law enforcement agency and is not transferred by the court to the seizing agency, the judge shall order it transferred to the Division of General Services of the Department of Administration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of the Department of Administration may authorize payment of like expenses in cases where monies, negotiable instruments, or securities are seized and forfeited.</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236A80">
        <w:t>If the property is seized by a local law enforcement agency and is not transferred by the court to the agency, the judge shall order 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by this section.</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D04851">
        <w:rPr>
          <w:strike/>
        </w:rPr>
        <w:t>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w:t>
      </w:r>
    </w:p>
    <w:p w:rsidR="00C92E31" w:rsidRPr="00D0485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36A80">
        <w:tab/>
      </w:r>
      <w:r w:rsidRPr="00D04851">
        <w:rPr>
          <w:strike/>
        </w:rPr>
        <w:t>All proceeds of property and cash forfeited by consent order must be disposed of as provided in subsection (e) of this section.</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tab/>
      </w:r>
      <w:r w:rsidRPr="00D04851">
        <w:rPr>
          <w:strike/>
        </w:rPr>
        <w:t>(e)</w:t>
      </w:r>
      <w:r>
        <w:tab/>
      </w:r>
      <w:r w:rsidRPr="00236A80">
        <w:t>All real or personal property, conveyances, and equipment of any value defined in Section 44</w:t>
      </w:r>
      <w:r w:rsidR="00EA68C5">
        <w:noBreakHyphen/>
      </w:r>
      <w:r w:rsidRPr="00236A80">
        <w:t>53</w:t>
      </w:r>
      <w:r w:rsidR="00EA68C5">
        <w:noBreakHyphen/>
      </w:r>
      <w:r w:rsidRPr="00236A80">
        <w:t xml:space="preserve">520, when reduced to proceeds, </w:t>
      </w:r>
      <w:r w:rsidRPr="00D04851">
        <w:rPr>
          <w:strike/>
        </w:rPr>
        <w:t>any cash more than one thousand dollars,</w:t>
      </w:r>
      <w:r w:rsidRPr="00236A80">
        <w:t xml:space="preserve"> </w:t>
      </w:r>
      <w:r>
        <w:rPr>
          <w:u w:val="single"/>
        </w:rPr>
        <w:t>any monies</w:t>
      </w:r>
      <w:r>
        <w:t xml:space="preserve">, </w:t>
      </w:r>
      <w:r w:rsidRPr="00236A80">
        <w:t>any negotiable instruments, and any securities which are seized and forfeited must be disposed of as follows:</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236A80">
        <w:t>seventy</w:t>
      </w:r>
      <w:r w:rsidR="00EA68C5">
        <w:noBreakHyphen/>
      </w:r>
      <w:r w:rsidRPr="00236A80">
        <w:t>five percent to the law enforcement agency or agencies;</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236A80">
        <w:t>twenty percent to the prosecuting agency; and</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236A80">
        <w:t>five percent must be remitted to the State Treasurer and deposited to the credit of the general fund of the State.</w:t>
      </w:r>
    </w:p>
    <w:p w:rsidR="00C92E31" w:rsidRPr="00D0485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36A80">
        <w:tab/>
      </w:r>
      <w:r w:rsidRPr="00231B91">
        <w:rPr>
          <w:strike/>
        </w:rPr>
        <w:t>(f)</w:t>
      </w:r>
      <w:r>
        <w:tab/>
      </w:r>
      <w:r w:rsidRPr="00D04851">
        <w:rPr>
          <w:strike/>
        </w:rPr>
        <w:t>The first one thousand dollars of any cash seized and forfeited pursuant to this article remains with and is the property of the law enforcement agency which effected the seizure unless otherwise agreed to by the law enforcement agency and prosecuting agency.</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tab/>
      </w:r>
      <w:r w:rsidRPr="00D04851">
        <w:rPr>
          <w:strike/>
        </w:rPr>
        <w:t>(g)</w:t>
      </w:r>
      <w:r w:rsidR="005246B9" w:rsidRPr="00231B91">
        <w:rPr>
          <w:u w:val="single"/>
        </w:rPr>
        <w:t>(e)</w:t>
      </w:r>
      <w:r w:rsidR="005246B9">
        <w:rPr>
          <w:u w:val="single"/>
        </w:rPr>
        <w:t>(1)</w:t>
      </w:r>
      <w:r w:rsidRPr="00D04851">
        <w:tab/>
      </w:r>
      <w:r w:rsidRPr="00236A80">
        <w:t>All forfeited monies and proceeds from the sale of forfeited property as defined in Section 44</w:t>
      </w:r>
      <w:r w:rsidR="00EA68C5">
        <w:noBreakHyphen/>
      </w:r>
      <w:r w:rsidRPr="00236A80">
        <w:t>53</w:t>
      </w:r>
      <w:r w:rsidR="00EA68C5">
        <w:noBreakHyphen/>
      </w:r>
      <w:r w:rsidRPr="00236A80">
        <w:t>520 must be retained by the governing body of the local law enforcement agency or prosecution agency and deposited in a separate, special account in the name of each appropriate agency. These accounts may be drawn on and used only by the law enforcement agency or prosecution agency for which the account was established. For law enforcement agencies, the accounts must be used for drug enforcement activities, or for drug or other law enforcement training or education. For prosecution agencies, the accounts must be used in matters relating to the prosecution of drug offenses and litigation of drug</w:t>
      </w:r>
      <w:r w:rsidR="00EA68C5">
        <w:noBreakHyphen/>
      </w:r>
      <w:r w:rsidRPr="00236A80">
        <w:t>related matters.</w:t>
      </w:r>
    </w:p>
    <w:p w:rsidR="00C92E31" w:rsidRDefault="005246B9"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rsidR="00C92E31" w:rsidRPr="00236A80">
        <w:tab/>
        <w:t>These accounts must not be used to supplant operating funds in the current or future budgets. Expenditures from these accounts for an item that would be a recurring expense must be approved by the governing body before purchase or, in the case of a state law enforcement agency or prosecution agency, approved as provided by law.</w:t>
      </w:r>
    </w:p>
    <w:p w:rsidR="00C92E31" w:rsidRDefault="005246B9"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rsidR="00C92E31" w:rsidRPr="00236A80">
        <w:tab/>
        <w:t>In the case of a state law enforcement agency or state prosecution agency, monies and proceeds must be remitted to the State Treasurer who shall establish separate, special accounts as provided in this section for local agencies.</w:t>
      </w:r>
    </w:p>
    <w:p w:rsidR="00C92E31" w:rsidRDefault="005246B9"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(4)</w:t>
      </w:r>
      <w:r w:rsidR="00C92E31" w:rsidRPr="00236A80">
        <w:tab/>
        <w:t>All expenditures from these accounts must be documented, and the documentation made available for audit purposes and upon request by a person under the provisions of Chapter 4, Title 30, the Freedom of Information Act.</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tab/>
      </w:r>
      <w:r w:rsidRPr="00D04851">
        <w:rPr>
          <w:strike/>
        </w:rPr>
        <w:t>(h)</w:t>
      </w:r>
      <w:r>
        <w:rPr>
          <w:u w:val="single"/>
        </w:rPr>
        <w:t>(</w:t>
      </w:r>
      <w:r w:rsidR="005246B9">
        <w:rPr>
          <w:u w:val="single"/>
        </w:rPr>
        <w:t>f</w:t>
      </w:r>
      <w:r>
        <w:rPr>
          <w:u w:val="single"/>
        </w:rPr>
        <w:t>)</w:t>
      </w:r>
      <w:r w:rsidRPr="00D04851">
        <w:tab/>
      </w:r>
      <w:r w:rsidRPr="00236A80">
        <w:t>The use of all property forfeited pursuant to Section 44</w:t>
      </w:r>
      <w:r w:rsidR="00EA68C5">
        <w:noBreakHyphen/>
      </w:r>
      <w:r w:rsidRPr="00236A80">
        <w:t>53</w:t>
      </w:r>
      <w:r w:rsidR="00EA68C5">
        <w:noBreakHyphen/>
      </w:r>
      <w:r w:rsidRPr="00236A80">
        <w:t>520 and retained by the law enforcement agency must be documented and the documentation available upon request by a person subject to the provisions of Chapter 4 of Title 30.</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tab/>
      </w:r>
      <w:r w:rsidRPr="00D04851">
        <w:rPr>
          <w:strike/>
        </w:rPr>
        <w:t>(i)</w:t>
      </w:r>
      <w:r>
        <w:rPr>
          <w:u w:val="single"/>
        </w:rPr>
        <w:t>(</w:t>
      </w:r>
      <w:r w:rsidR="005246B9">
        <w:rPr>
          <w:u w:val="single"/>
        </w:rPr>
        <w:t>g</w:t>
      </w:r>
      <w:r>
        <w:rPr>
          <w:u w:val="single"/>
        </w:rPr>
        <w:t>)</w:t>
      </w:r>
      <w:r w:rsidRPr="00D04851">
        <w:tab/>
      </w:r>
      <w:r w:rsidRPr="00236A80">
        <w:t>An expenditure from these accounts must be made in accordance with the established procurement procedures of the jurisdiction where the account is established.</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tab/>
      </w:r>
      <w:r w:rsidRPr="00D04851">
        <w:rPr>
          <w:strike/>
        </w:rPr>
        <w:t>(j)</w:t>
      </w:r>
      <w:r>
        <w:rPr>
          <w:u w:val="single"/>
        </w:rPr>
        <w:t>(</w:t>
      </w:r>
      <w:r w:rsidR="005246B9">
        <w:rPr>
          <w:u w:val="single"/>
        </w:rPr>
        <w:t>h</w:t>
      </w:r>
      <w:r>
        <w:rPr>
          <w:u w:val="single"/>
        </w:rPr>
        <w:t>)</w:t>
      </w:r>
      <w:r w:rsidR="005246B9">
        <w:rPr>
          <w:u w:val="single"/>
        </w:rPr>
        <w:t>(1)</w:t>
      </w:r>
      <w:r>
        <w:tab/>
      </w:r>
      <w:r w:rsidRPr="00236A80">
        <w:t>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(division). All records of disbursement must be maintained and made available for audit purposes as provided in this section.</w:t>
      </w:r>
    </w:p>
    <w:p w:rsidR="00C92E31" w:rsidRDefault="005246B9"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rsidR="00C92E31" w:rsidRPr="00236A80">
        <w:tab/>
        <w:t>All expenditures from these accounts must be fully documented and audited annually with the general fund of the appropriate jurisdiction.</w:t>
      </w:r>
    </w:p>
    <w:p w:rsidR="008D4E29" w:rsidRDefault="00C92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36A80">
        <w:tab/>
      </w:r>
      <w:r w:rsidRPr="00D04851">
        <w:rPr>
          <w:strike/>
        </w:rPr>
        <w:t>(k)</w:t>
      </w:r>
      <w:r>
        <w:rPr>
          <w:u w:val="single"/>
        </w:rPr>
        <w:t>(</w:t>
      </w:r>
      <w:r w:rsidR="005246B9">
        <w:rPr>
          <w:u w:val="single"/>
        </w:rPr>
        <w:t>i</w:t>
      </w:r>
      <w:r>
        <w:rPr>
          <w:u w:val="single"/>
        </w:rPr>
        <w:t>)</w:t>
      </w:r>
      <w:r>
        <w:tab/>
      </w:r>
      <w:r w:rsidRPr="00236A80">
        <w:t>In all cases where the criminal offense giving rise to the forfeiture of property described in Section 44</w:t>
      </w:r>
      <w:r w:rsidR="00EA68C5">
        <w:noBreakHyphen/>
      </w:r>
      <w:r w:rsidRPr="00236A80">
        <w:t>53</w:t>
      </w:r>
      <w:r w:rsidR="00EA68C5">
        <w:noBreakHyphen/>
      </w:r>
      <w:r w:rsidRPr="00236A80">
        <w:t>520 is prosecuted in a state court, the forfeiture proceeding must be accomplished in the court of common pleas for the jurisdiction where the items were seized.</w:t>
      </w:r>
      <w:r>
        <w:t>”</w:t>
      </w:r>
    </w:p>
    <w:p w:rsidR="008D4E29" w:rsidRDefault="008D4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4E29" w:rsidRPr="00522CE0" w:rsidRDefault="008D4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92E31">
        <w:rPr>
          <w:rFonts w:eastAsia="Times New Roman"/>
        </w:rPr>
        <w:t>3</w:t>
      </w:r>
      <w:r>
        <w:rPr>
          <w:rFonts w:eastAsia="Times New Roman"/>
        </w:rPr>
        <w:t>.</w:t>
      </w:r>
      <w:r>
        <w:rPr>
          <w:rFonts w:eastAsia="Times New Roman"/>
        </w:rPr>
        <w:tab/>
        <w:t>This act takes effect upon approval by the Governor.</w:t>
      </w:r>
    </w:p>
    <w:p w:rsidR="00C5197A" w:rsidRDefault="00EA68C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76E45" w:rsidRDefault="00676E45" w:rsidP="00676E45">
      <w:pPr>
        <w:suppressAutoHyphens/>
        <w:jc w:val="both"/>
        <w:rPr>
          <w:rFonts w:eastAsia="Times New Roman"/>
        </w:rPr>
      </w:pPr>
    </w:p>
    <w:sectPr w:rsidR="00676E45" w:rsidSect="00676E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D65" w:rsidRDefault="00650D65" w:rsidP="00522CE0">
      <w:r>
        <w:separator/>
      </w:r>
    </w:p>
  </w:endnote>
  <w:endnote w:type="continuationSeparator" w:id="0">
    <w:p w:rsidR="00650D65" w:rsidRDefault="00650D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E43E32-E6E7-4E2E-B24F-7B48B557FC48}"/>
    <w:embedBold r:id="rId2" w:fontKey="{EF37C744-94B1-4D22-A075-A6F388F51D61}"/>
  </w:font>
  <w:font w:name="Calibri">
    <w:panose1 w:val="020F0502020204030204"/>
    <w:charset w:val="00"/>
    <w:family w:val="swiss"/>
    <w:pitch w:val="variable"/>
    <w:sig w:usb0="E0002EFF" w:usb1="C000247B" w:usb2="00000009" w:usb3="00000000" w:csb0="000001FF" w:csb1="00000000"/>
    <w:embedRegular r:id="rId3" w:fontKey="{AEBE2687-002B-4020-848C-B1C9B9F32ECB}"/>
    <w:embedBold r:id="rId4" w:fontKey="{2AEB460B-B673-4561-A4B0-6DA4A04CA283}"/>
  </w:font>
  <w:font w:name="Segoe UI">
    <w:panose1 w:val="020B0502040204020203"/>
    <w:charset w:val="00"/>
    <w:family w:val="swiss"/>
    <w:pitch w:val="variable"/>
    <w:sig w:usb0="E4002EFF" w:usb1="C000E47F" w:usb2="00000009" w:usb3="00000000" w:csb0="000001FF" w:csb1="00000000"/>
    <w:embedRegular r:id="rId5" w:fontKey="{6265AB41-5181-49CA-B8F8-F759D350FAEF}"/>
  </w:font>
  <w:font w:name="Cambria">
    <w:panose1 w:val="02040503050406030204"/>
    <w:charset w:val="00"/>
    <w:family w:val="roman"/>
    <w:pitch w:val="variable"/>
    <w:sig w:usb0="E00006FF" w:usb1="420024FF" w:usb2="02000000" w:usb3="00000000" w:csb0="0000019F" w:csb1="00000000"/>
    <w:embedRegular r:id="rId6" w:fontKey="{2F01B802-C146-4B1A-AC48-B6239D87D2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E45" w:rsidRPr="00653B36" w:rsidRDefault="00676E45" w:rsidP="00653B36">
    <w:pPr>
      <w:pStyle w:val="Footer"/>
      <w:tabs>
        <w:tab w:val="clear" w:pos="4680"/>
        <w:tab w:val="clear" w:pos="9360"/>
        <w:tab w:val="center" w:pos="2995"/>
      </w:tabs>
      <w:spacing w:before="120"/>
    </w:pPr>
    <w:r>
      <w:t>[209]</w:t>
    </w:r>
    <w:r>
      <w:tab/>
    </w:r>
    <w:r>
      <w:fldChar w:fldCharType="begin"/>
    </w:r>
    <w:r>
      <w:instrText xml:space="preserve"> PAGE  \* MERGEFORMAT </w:instrText>
    </w:r>
    <w:r>
      <w:fldChar w:fldCharType="separate"/>
    </w:r>
    <w:r w:rsidR="004440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D65" w:rsidRDefault="00650D65" w:rsidP="00522CE0">
      <w:r>
        <w:separator/>
      </w:r>
    </w:p>
  </w:footnote>
  <w:footnote w:type="continuationSeparator" w:id="0">
    <w:p w:rsidR="00650D65" w:rsidRDefault="00650D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CIVI.SP.GH"/>
    <w:docVar w:name="CoverAttorneyInitials" w:val="SP"/>
    <w:docVar w:name="CoverAttorneyLastName" w:val="Parrish"/>
    <w:docVar w:name="CoverBillType" w:val="b"/>
    <w:docVar w:name="CoverSenator" w:val="GH"/>
    <w:docVar w:name="dvBillNumber" w:val="209"/>
    <w:docVar w:name="dvBillNumberPrefix" w:val="S. "/>
    <w:docVar w:name="dvOriginalBody" w:val="Senate"/>
    <w:docVar w:name="fulldraftpath" w:val="L:\S-RES\GH\010CIVI.SP.GH.DOCX"/>
    <w:docVar w:name="NameofBody" w:val="S"/>
    <w:docVar w:name="vgroup2" w:val="S-RES"/>
  </w:docVars>
  <w:rsids>
    <w:rsidRoot w:val="008D4E29"/>
    <w:rsid w:val="00042AC1"/>
    <w:rsid w:val="00046516"/>
    <w:rsid w:val="00050065"/>
    <w:rsid w:val="00072458"/>
    <w:rsid w:val="0007601D"/>
    <w:rsid w:val="000B0720"/>
    <w:rsid w:val="000B5EAF"/>
    <w:rsid w:val="001315B2"/>
    <w:rsid w:val="00170561"/>
    <w:rsid w:val="00174988"/>
    <w:rsid w:val="00186AC9"/>
    <w:rsid w:val="00197DF1"/>
    <w:rsid w:val="001B3DD9"/>
    <w:rsid w:val="001B7E5D"/>
    <w:rsid w:val="001D3BAC"/>
    <w:rsid w:val="00216025"/>
    <w:rsid w:val="00231B91"/>
    <w:rsid w:val="00245C4E"/>
    <w:rsid w:val="002C1321"/>
    <w:rsid w:val="002C2031"/>
    <w:rsid w:val="002C5896"/>
    <w:rsid w:val="002D3BED"/>
    <w:rsid w:val="002D4BCD"/>
    <w:rsid w:val="00307C2B"/>
    <w:rsid w:val="00315D04"/>
    <w:rsid w:val="00330332"/>
    <w:rsid w:val="00330F09"/>
    <w:rsid w:val="00383247"/>
    <w:rsid w:val="003D6E2B"/>
    <w:rsid w:val="003E7597"/>
    <w:rsid w:val="00413EBF"/>
    <w:rsid w:val="0044020F"/>
    <w:rsid w:val="004440BD"/>
    <w:rsid w:val="00450668"/>
    <w:rsid w:val="00450AC7"/>
    <w:rsid w:val="00454138"/>
    <w:rsid w:val="004813A2"/>
    <w:rsid w:val="004952FA"/>
    <w:rsid w:val="004B6A22"/>
    <w:rsid w:val="004D7F37"/>
    <w:rsid w:val="005117C6"/>
    <w:rsid w:val="00522CE0"/>
    <w:rsid w:val="005246B9"/>
    <w:rsid w:val="00541951"/>
    <w:rsid w:val="00565148"/>
    <w:rsid w:val="00570403"/>
    <w:rsid w:val="00577450"/>
    <w:rsid w:val="00593361"/>
    <w:rsid w:val="005A413B"/>
    <w:rsid w:val="005A5017"/>
    <w:rsid w:val="005A648C"/>
    <w:rsid w:val="005B75A9"/>
    <w:rsid w:val="005F07AC"/>
    <w:rsid w:val="005F1745"/>
    <w:rsid w:val="00614B89"/>
    <w:rsid w:val="00650D65"/>
    <w:rsid w:val="00653B36"/>
    <w:rsid w:val="00676E45"/>
    <w:rsid w:val="006A1802"/>
    <w:rsid w:val="006C0CBB"/>
    <w:rsid w:val="006C74EA"/>
    <w:rsid w:val="006F56CF"/>
    <w:rsid w:val="00720D40"/>
    <w:rsid w:val="007318D4"/>
    <w:rsid w:val="00765784"/>
    <w:rsid w:val="007A4390"/>
    <w:rsid w:val="007E5CB7"/>
    <w:rsid w:val="008314D2"/>
    <w:rsid w:val="00870F6F"/>
    <w:rsid w:val="008B2F42"/>
    <w:rsid w:val="008C3697"/>
    <w:rsid w:val="008D4E29"/>
    <w:rsid w:val="008E185F"/>
    <w:rsid w:val="008F023B"/>
    <w:rsid w:val="00904E16"/>
    <w:rsid w:val="009162B3"/>
    <w:rsid w:val="00927C62"/>
    <w:rsid w:val="00983951"/>
    <w:rsid w:val="00984124"/>
    <w:rsid w:val="00984640"/>
    <w:rsid w:val="00993B39"/>
    <w:rsid w:val="00995C37"/>
    <w:rsid w:val="009C118A"/>
    <w:rsid w:val="00A02011"/>
    <w:rsid w:val="00A23CB5"/>
    <w:rsid w:val="00A4011E"/>
    <w:rsid w:val="00A86015"/>
    <w:rsid w:val="00A9594E"/>
    <w:rsid w:val="00AE59C8"/>
    <w:rsid w:val="00B10098"/>
    <w:rsid w:val="00B5790D"/>
    <w:rsid w:val="00B945C5"/>
    <w:rsid w:val="00BA20EA"/>
    <w:rsid w:val="00BB3A4A"/>
    <w:rsid w:val="00BB5AFC"/>
    <w:rsid w:val="00BC026E"/>
    <w:rsid w:val="00BC0A56"/>
    <w:rsid w:val="00C45366"/>
    <w:rsid w:val="00C5197A"/>
    <w:rsid w:val="00C57023"/>
    <w:rsid w:val="00C74052"/>
    <w:rsid w:val="00C92E31"/>
    <w:rsid w:val="00CB187A"/>
    <w:rsid w:val="00CC0EC7"/>
    <w:rsid w:val="00CC251A"/>
    <w:rsid w:val="00CF2C98"/>
    <w:rsid w:val="00D1088B"/>
    <w:rsid w:val="00D1286F"/>
    <w:rsid w:val="00D12EA1"/>
    <w:rsid w:val="00D14DE6"/>
    <w:rsid w:val="00D156D2"/>
    <w:rsid w:val="00D35486"/>
    <w:rsid w:val="00D53E29"/>
    <w:rsid w:val="00D86943"/>
    <w:rsid w:val="00DA3C6B"/>
    <w:rsid w:val="00DA47B9"/>
    <w:rsid w:val="00DA5066"/>
    <w:rsid w:val="00DE5635"/>
    <w:rsid w:val="00E058D3"/>
    <w:rsid w:val="00E12CA0"/>
    <w:rsid w:val="00E2236D"/>
    <w:rsid w:val="00E76AD9"/>
    <w:rsid w:val="00E86EE2"/>
    <w:rsid w:val="00E91E2F"/>
    <w:rsid w:val="00EA3546"/>
    <w:rsid w:val="00EA68C5"/>
    <w:rsid w:val="00EB47AE"/>
    <w:rsid w:val="00EC34E1"/>
    <w:rsid w:val="00F0234A"/>
    <w:rsid w:val="00F05CF2"/>
    <w:rsid w:val="00F51241"/>
    <w:rsid w:val="00F52959"/>
    <w:rsid w:val="00F55884"/>
    <w:rsid w:val="00FB7F01"/>
    <w:rsid w:val="00FC0D36"/>
    <w:rsid w:val="00FC3A2B"/>
    <w:rsid w:val="00FD7BF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52D9935D-11D0-46F1-8364-10FC65FDE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246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6B9"/>
    <w:rPr>
      <w:rFonts w:ascii="Segoe UI" w:hAnsi="Segoe UI" w:cs="Segoe UI"/>
      <w:sz w:val="18"/>
      <w:szCs w:val="18"/>
    </w:rPr>
  </w:style>
  <w:style w:type="character" w:styleId="Hyperlink">
    <w:name w:val="Hyperlink"/>
    <w:basedOn w:val="DefaultParagraphFont"/>
    <w:uiPriority w:val="99"/>
    <w:unhideWhenUsed/>
    <w:rsid w:val="00676E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0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0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4BC1D-D51E-44E3-B8D7-78DA3AB96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2474</Words>
  <Characters>14106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209: Subject not yet available - South Carolina Legislature Online</dc:title>
  <dc:subject/>
  <dc:creator>Sara Parrish</dc:creator>
  <cp:keywords/>
  <dc:description/>
  <cp:lastModifiedBy>S Wilson</cp:lastModifiedBy>
  <cp:revision>2</cp:revision>
  <dcterms:created xsi:type="dcterms:W3CDTF">2021-01-21T17:51:00Z</dcterms:created>
  <dcterms:modified xsi:type="dcterms:W3CDTF">2021-01-21T17:51:00Z</dcterms:modified>
</cp:coreProperties>
</file>