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21A2" w:rsidRDefault="000421A2" w:rsidP="000421A2">
      <w:pPr>
        <w:widowControl w:val="0"/>
        <w:jc w:val="center"/>
      </w:pPr>
      <w:r w:rsidRPr="000421A2">
        <w:rPr>
          <w:b/>
        </w:rPr>
        <w:t>South Carolina General Assembly</w:t>
      </w:r>
    </w:p>
    <w:p w:rsidR="000421A2" w:rsidRDefault="000421A2" w:rsidP="000421A2">
      <w:pPr>
        <w:widowControl w:val="0"/>
        <w:jc w:val="center"/>
      </w:pPr>
      <w:r>
        <w:t>124th Session, 2021-2022</w:t>
      </w:r>
    </w:p>
    <w:p w:rsidR="000421A2" w:rsidRDefault="000421A2" w:rsidP="000421A2">
      <w:pPr>
        <w:widowControl w:val="0"/>
        <w:jc w:val="left"/>
      </w:pPr>
    </w:p>
    <w:p w:rsidR="000421A2" w:rsidRDefault="000421A2" w:rsidP="000421A2">
      <w:pPr>
        <w:widowControl w:val="0"/>
        <w:jc w:val="left"/>
        <w:rPr>
          <w:b/>
        </w:rPr>
      </w:pPr>
      <w:r w:rsidRPr="000421A2">
        <w:rPr>
          <w:b/>
        </w:rPr>
        <w:t>H. 3106</w:t>
      </w:r>
    </w:p>
    <w:p w:rsidR="000421A2" w:rsidRDefault="000421A2" w:rsidP="000421A2">
      <w:pPr>
        <w:widowControl w:val="0"/>
        <w:jc w:val="left"/>
        <w:rPr>
          <w:b/>
        </w:rPr>
      </w:pPr>
    </w:p>
    <w:p w:rsidR="000421A2" w:rsidRDefault="000421A2" w:rsidP="000421A2">
      <w:pPr>
        <w:widowControl w:val="0"/>
        <w:jc w:val="left"/>
      </w:pPr>
      <w:r w:rsidRPr="000421A2">
        <w:rPr>
          <w:b/>
        </w:rPr>
        <w:t>STATUS INFORMATION</w:t>
      </w:r>
    </w:p>
    <w:p w:rsidR="000421A2" w:rsidRDefault="000421A2" w:rsidP="000421A2">
      <w:pPr>
        <w:widowControl w:val="0"/>
        <w:jc w:val="left"/>
      </w:pPr>
    </w:p>
    <w:p w:rsidR="000421A2" w:rsidRDefault="000421A2" w:rsidP="000421A2">
      <w:pPr>
        <w:widowControl w:val="0"/>
        <w:jc w:val="left"/>
      </w:pPr>
      <w:r>
        <w:t>General Bill</w:t>
      </w:r>
    </w:p>
    <w:p w:rsidR="000421A2" w:rsidRDefault="00276A70" w:rsidP="000421A2">
      <w:pPr>
        <w:widowControl w:val="0"/>
        <w:jc w:val="left"/>
      </w:pPr>
      <w:r>
        <w:t>Sponsors: Reps. Bannister, G.R. Smith, Dillard, Elliott, Hosey and Willis</w:t>
      </w:r>
    </w:p>
    <w:p w:rsidR="000421A2" w:rsidRDefault="000421A2" w:rsidP="000421A2">
      <w:pPr>
        <w:widowControl w:val="0"/>
        <w:jc w:val="left"/>
      </w:pPr>
      <w:r>
        <w:t>Document Path: l:\council\bills\sm\20158sa21.docx</w:t>
      </w:r>
    </w:p>
    <w:p w:rsidR="00DA60D9" w:rsidRDefault="007B1AA3" w:rsidP="000421A2">
      <w:pPr>
        <w:widowControl w:val="0"/>
        <w:jc w:val="left"/>
      </w:pPr>
      <w:r>
        <w:t>Companion/Similar bill(s): 234, 616</w:t>
      </w:r>
    </w:p>
    <w:p w:rsidR="000421A2" w:rsidRDefault="000421A2" w:rsidP="000421A2">
      <w:pPr>
        <w:widowControl w:val="0"/>
        <w:jc w:val="left"/>
      </w:pPr>
    </w:p>
    <w:p w:rsidR="00F94689" w:rsidRDefault="00F94689" w:rsidP="000421A2">
      <w:pPr>
        <w:widowControl w:val="0"/>
        <w:jc w:val="left"/>
      </w:pPr>
      <w:r>
        <w:t>Introduced in the House on January 12, 2021</w:t>
      </w:r>
    </w:p>
    <w:p w:rsidR="00F94689" w:rsidRDefault="00F94689" w:rsidP="000421A2">
      <w:pPr>
        <w:widowControl w:val="0"/>
        <w:jc w:val="left"/>
      </w:pPr>
      <w:r>
        <w:t>Introduced in the Senate on April 7, 2022</w:t>
      </w:r>
    </w:p>
    <w:p w:rsidR="00F94689" w:rsidRDefault="00F94689" w:rsidP="000421A2">
      <w:pPr>
        <w:widowControl w:val="0"/>
        <w:jc w:val="left"/>
      </w:pPr>
      <w:r>
        <w:t>Last Amended on April 6, 2022</w:t>
      </w:r>
    </w:p>
    <w:p w:rsidR="00F94689" w:rsidRDefault="00F94689" w:rsidP="000421A2">
      <w:pPr>
        <w:widowControl w:val="0"/>
        <w:jc w:val="left"/>
      </w:pPr>
      <w:r>
        <w:t>Currently residing in the Senate</w:t>
      </w:r>
    </w:p>
    <w:p w:rsidR="00F94689" w:rsidRDefault="00F94689" w:rsidP="000421A2">
      <w:pPr>
        <w:widowControl w:val="0"/>
        <w:jc w:val="left"/>
      </w:pPr>
    </w:p>
    <w:p w:rsidR="000421A2" w:rsidRDefault="007E6177" w:rsidP="000421A2">
      <w:pPr>
        <w:widowControl w:val="0"/>
        <w:jc w:val="left"/>
      </w:pPr>
      <w:r>
        <w:t>Summary: Employer and employee contribution rates under SCRS and PORS</w:t>
      </w:r>
    </w:p>
    <w:p w:rsidR="000421A2" w:rsidRDefault="000421A2" w:rsidP="000421A2">
      <w:pPr>
        <w:widowControl w:val="0"/>
        <w:jc w:val="left"/>
      </w:pPr>
    </w:p>
    <w:p w:rsidR="000421A2" w:rsidRDefault="000421A2" w:rsidP="000421A2">
      <w:pPr>
        <w:widowControl w:val="0"/>
        <w:jc w:val="left"/>
      </w:pPr>
    </w:p>
    <w:p w:rsidR="000421A2" w:rsidRDefault="000421A2" w:rsidP="000421A2">
      <w:pPr>
        <w:widowControl w:val="0"/>
        <w:tabs>
          <w:tab w:val="center" w:pos="590"/>
          <w:tab w:val="center" w:pos="1440"/>
          <w:tab w:val="left" w:pos="1872"/>
          <w:tab w:val="left" w:pos="9187"/>
        </w:tabs>
        <w:jc w:val="left"/>
      </w:pPr>
      <w:r w:rsidRPr="000421A2">
        <w:rPr>
          <w:b/>
        </w:rPr>
        <w:t>HISTORY OF LEGISLATIVE ACTIONS</w:t>
      </w:r>
    </w:p>
    <w:p w:rsidR="000421A2" w:rsidRDefault="000421A2" w:rsidP="000421A2">
      <w:pPr>
        <w:widowControl w:val="0"/>
        <w:tabs>
          <w:tab w:val="center" w:pos="590"/>
          <w:tab w:val="center" w:pos="1440"/>
          <w:tab w:val="left" w:pos="1872"/>
          <w:tab w:val="left" w:pos="9187"/>
        </w:tabs>
        <w:jc w:val="left"/>
      </w:pPr>
    </w:p>
    <w:p w:rsidR="000421A2" w:rsidRPr="000421A2" w:rsidRDefault="000421A2" w:rsidP="000421A2">
      <w:pPr>
        <w:widowControl w:val="0"/>
        <w:tabs>
          <w:tab w:val="center" w:pos="590"/>
          <w:tab w:val="center" w:pos="1440"/>
          <w:tab w:val="left" w:pos="1872"/>
          <w:tab w:val="left" w:pos="9187"/>
        </w:tabs>
        <w:jc w:val="left"/>
      </w:pPr>
      <w:r w:rsidRPr="000421A2">
        <w:rPr>
          <w:u w:val="single"/>
        </w:rPr>
        <w:tab/>
        <w:t>Date</w:t>
      </w:r>
      <w:r w:rsidRPr="000421A2">
        <w:rPr>
          <w:u w:val="single"/>
        </w:rPr>
        <w:tab/>
        <w:t>Body</w:t>
      </w:r>
      <w:r w:rsidRPr="000421A2">
        <w:rPr>
          <w:u w:val="single"/>
        </w:rPr>
        <w:tab/>
        <w:t>Action Description with journal page number</w:t>
      </w:r>
      <w:r w:rsidRPr="000421A2">
        <w:rPr>
          <w:u w:val="single"/>
        </w:rPr>
        <w:tab/>
      </w:r>
    </w:p>
    <w:p w:rsidR="00C11B57" w:rsidRDefault="00C11B57" w:rsidP="00C11B57">
      <w:pPr>
        <w:widowControl w:val="0"/>
        <w:tabs>
          <w:tab w:val="right" w:pos="1008"/>
          <w:tab w:val="left" w:pos="1152"/>
          <w:tab w:val="left" w:pos="1872"/>
          <w:tab w:val="left" w:pos="9187"/>
        </w:tabs>
        <w:ind w:left="2088" w:hanging="2088"/>
      </w:pPr>
      <w:r>
        <w:tab/>
        <w:t>12/9/2020</w:t>
      </w:r>
      <w:r>
        <w:tab/>
        <w:t>House</w:t>
      </w:r>
      <w:r>
        <w:tab/>
        <w:t>Prefiled</w:t>
      </w:r>
    </w:p>
    <w:p w:rsidR="00C11B57" w:rsidRDefault="00C11B57" w:rsidP="00C11B5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86F72">
        <w:rPr>
          <w:b/>
        </w:rPr>
        <w:t>Ways and Means</w:t>
      </w:r>
    </w:p>
    <w:p w:rsidR="00C11B57" w:rsidRDefault="00C11B57" w:rsidP="00C11B5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86F72">
          <w:rPr>
            <w:rStyle w:val="Hyperlink"/>
          </w:rPr>
          <w:t>House Journal</w:t>
        </w:r>
        <w:r w:rsidRPr="00E86F72">
          <w:rPr>
            <w:rStyle w:val="Hyperlink"/>
          </w:rPr>
          <w:noBreakHyphen/>
          <w:t>page 75</w:t>
        </w:r>
      </w:hyperlink>
      <w:r>
        <w:t>)</w:t>
      </w:r>
    </w:p>
    <w:p w:rsidR="00C11B57" w:rsidRDefault="00C11B57" w:rsidP="00C11B5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86F72">
        <w:rPr>
          <w:b/>
        </w:rPr>
        <w:t>Ways and Means</w:t>
      </w:r>
      <w:r>
        <w:t xml:space="preserve"> (</w:t>
      </w:r>
      <w:hyperlink r:id="rId8" w:history="1">
        <w:r w:rsidRPr="00E86F72">
          <w:rPr>
            <w:rStyle w:val="Hyperlink"/>
          </w:rPr>
          <w:t>House Journal</w:t>
        </w:r>
        <w:r w:rsidRPr="00E86F72">
          <w:rPr>
            <w:rStyle w:val="Hyperlink"/>
          </w:rPr>
          <w:noBreakHyphen/>
          <w:t>page 75</w:t>
        </w:r>
      </w:hyperlink>
      <w:r>
        <w:t>)</w:t>
      </w:r>
    </w:p>
    <w:p w:rsidR="00C11B57" w:rsidRDefault="00C11B57" w:rsidP="00C11B57">
      <w:pPr>
        <w:widowControl w:val="0"/>
        <w:tabs>
          <w:tab w:val="right" w:pos="1008"/>
          <w:tab w:val="left" w:pos="1152"/>
          <w:tab w:val="left" w:pos="1872"/>
          <w:tab w:val="left" w:pos="9187"/>
        </w:tabs>
        <w:ind w:left="2088" w:hanging="2088"/>
      </w:pPr>
      <w:r>
        <w:tab/>
        <w:t>2/2/2021</w:t>
      </w:r>
      <w:r>
        <w:tab/>
        <w:t>House</w:t>
      </w:r>
      <w:r>
        <w:tab/>
        <w:t>Member(s) request name added as sponsor: Willis</w:t>
      </w:r>
    </w:p>
    <w:p w:rsidR="00C11B57" w:rsidRDefault="00C11B57" w:rsidP="00C11B57">
      <w:pPr>
        <w:widowControl w:val="0"/>
        <w:tabs>
          <w:tab w:val="right" w:pos="1008"/>
          <w:tab w:val="left" w:pos="1152"/>
          <w:tab w:val="left" w:pos="1872"/>
          <w:tab w:val="left" w:pos="9187"/>
        </w:tabs>
        <w:ind w:left="2088" w:hanging="2088"/>
      </w:pPr>
      <w:r>
        <w:tab/>
        <w:t>3/31/2022</w:t>
      </w:r>
      <w:r>
        <w:tab/>
        <w:t>House</w:t>
      </w:r>
      <w:r>
        <w:tab/>
        <w:t xml:space="preserve">Committee report: Favorable with amendment </w:t>
      </w:r>
      <w:r w:rsidRPr="00E86F72">
        <w:rPr>
          <w:b/>
        </w:rPr>
        <w:t>Ways and Means</w:t>
      </w:r>
      <w:r>
        <w:t xml:space="preserve"> (</w:t>
      </w:r>
      <w:hyperlink r:id="rId9" w:history="1">
        <w:r w:rsidRPr="00E86F72">
          <w:rPr>
            <w:rStyle w:val="Hyperlink"/>
          </w:rPr>
          <w:t>House Journal</w:t>
        </w:r>
        <w:r w:rsidRPr="00E86F72">
          <w:rPr>
            <w:rStyle w:val="Hyperlink"/>
          </w:rPr>
          <w:noBreakHyphen/>
          <w:t>page 26</w:t>
        </w:r>
      </w:hyperlink>
      <w:r>
        <w:t>)</w:t>
      </w:r>
    </w:p>
    <w:p w:rsidR="00C11B57" w:rsidRDefault="00C11B57" w:rsidP="00C11B57">
      <w:pPr>
        <w:widowControl w:val="0"/>
        <w:tabs>
          <w:tab w:val="right" w:pos="1008"/>
          <w:tab w:val="left" w:pos="1152"/>
          <w:tab w:val="left" w:pos="1872"/>
          <w:tab w:val="left" w:pos="9187"/>
        </w:tabs>
        <w:ind w:left="2088" w:hanging="2088"/>
      </w:pPr>
      <w:r>
        <w:tab/>
        <w:t>4/1/2022</w:t>
      </w:r>
      <w:r>
        <w:tab/>
      </w:r>
      <w:r>
        <w:tab/>
        <w:t>Scrivener's error corrected</w:t>
      </w:r>
    </w:p>
    <w:p w:rsidR="00C11B57" w:rsidRDefault="00C11B57" w:rsidP="00C11B57">
      <w:pPr>
        <w:widowControl w:val="0"/>
        <w:tabs>
          <w:tab w:val="right" w:pos="1008"/>
          <w:tab w:val="left" w:pos="1152"/>
          <w:tab w:val="left" w:pos="1872"/>
          <w:tab w:val="left" w:pos="9187"/>
        </w:tabs>
        <w:ind w:left="2088" w:hanging="2088"/>
      </w:pPr>
      <w:r>
        <w:tab/>
        <w:t>4/5/2022</w:t>
      </w:r>
      <w:r>
        <w:tab/>
        <w:t>House</w:t>
      </w:r>
      <w:r>
        <w:tab/>
        <w:t>Requests for debate</w:t>
      </w:r>
      <w:r>
        <w:noBreakHyphen/>
        <w:t>Rep(s).  Bamberg, Thigpen, King, McDaniel, Brawley, JL Johnson, Hosey, Alexander, KO Johnson (</w:t>
      </w:r>
      <w:hyperlink r:id="rId10" w:history="1">
        <w:r w:rsidRPr="00E86F72">
          <w:rPr>
            <w:rStyle w:val="Hyperlink"/>
          </w:rPr>
          <w:t>House Journal</w:t>
        </w:r>
        <w:r w:rsidRPr="00E86F72">
          <w:rPr>
            <w:rStyle w:val="Hyperlink"/>
          </w:rPr>
          <w:noBreakHyphen/>
          <w:t>page 21</w:t>
        </w:r>
      </w:hyperlink>
      <w:r>
        <w:t>)</w:t>
      </w:r>
    </w:p>
    <w:p w:rsidR="00C11B57" w:rsidRDefault="00C11B57" w:rsidP="00C11B57">
      <w:pPr>
        <w:widowControl w:val="0"/>
        <w:tabs>
          <w:tab w:val="right" w:pos="1008"/>
          <w:tab w:val="left" w:pos="1152"/>
          <w:tab w:val="left" w:pos="1872"/>
          <w:tab w:val="left" w:pos="9187"/>
        </w:tabs>
        <w:ind w:left="2088" w:hanging="2088"/>
      </w:pPr>
      <w:r>
        <w:tab/>
        <w:t>4/6/2022</w:t>
      </w:r>
      <w:r>
        <w:tab/>
        <w:t>House</w:t>
      </w:r>
      <w:r>
        <w:tab/>
        <w:t>Requests for debate removed</w:t>
      </w:r>
      <w:r>
        <w:noBreakHyphen/>
        <w:t>Rep(s).  Bamberg, Alexander, Brawley, King, Hosey, Thigpen, JL Johnson, KO Johnson (</w:t>
      </w:r>
      <w:hyperlink r:id="rId11" w:history="1">
        <w:r w:rsidRPr="00E86F72">
          <w:rPr>
            <w:rStyle w:val="Hyperlink"/>
          </w:rPr>
          <w:t>House Journal</w:t>
        </w:r>
        <w:r w:rsidRPr="00E86F72">
          <w:rPr>
            <w:rStyle w:val="Hyperlink"/>
          </w:rPr>
          <w:noBreakHyphen/>
          <w:t>page 163</w:t>
        </w:r>
      </w:hyperlink>
      <w:r>
        <w:t>)</w:t>
      </w:r>
    </w:p>
    <w:p w:rsidR="00C11B57" w:rsidRDefault="00C11B57" w:rsidP="00C11B57">
      <w:pPr>
        <w:widowControl w:val="0"/>
        <w:tabs>
          <w:tab w:val="right" w:pos="1008"/>
          <w:tab w:val="left" w:pos="1152"/>
          <w:tab w:val="left" w:pos="1872"/>
          <w:tab w:val="left" w:pos="9187"/>
        </w:tabs>
        <w:ind w:left="2088" w:hanging="2088"/>
      </w:pPr>
      <w:r>
        <w:tab/>
        <w:t>4/6/2022</w:t>
      </w:r>
      <w:r>
        <w:tab/>
        <w:t>House</w:t>
      </w:r>
      <w:r>
        <w:tab/>
        <w:t>Amended (</w:t>
      </w:r>
      <w:hyperlink r:id="rId12" w:history="1">
        <w:r w:rsidRPr="00E86F72">
          <w:rPr>
            <w:rStyle w:val="Hyperlink"/>
          </w:rPr>
          <w:t>House Journal</w:t>
        </w:r>
        <w:r w:rsidRPr="00E86F72">
          <w:rPr>
            <w:rStyle w:val="Hyperlink"/>
          </w:rPr>
          <w:noBreakHyphen/>
          <w:t>page 163</w:t>
        </w:r>
      </w:hyperlink>
      <w:r>
        <w:t>)</w:t>
      </w:r>
    </w:p>
    <w:p w:rsidR="00C11B57" w:rsidRDefault="00C11B57" w:rsidP="00C11B57">
      <w:pPr>
        <w:widowControl w:val="0"/>
        <w:tabs>
          <w:tab w:val="right" w:pos="1008"/>
          <w:tab w:val="left" w:pos="1152"/>
          <w:tab w:val="left" w:pos="1872"/>
          <w:tab w:val="left" w:pos="9187"/>
        </w:tabs>
        <w:ind w:left="2088" w:hanging="2088"/>
      </w:pPr>
      <w:r>
        <w:tab/>
        <w:t>4/6/2022</w:t>
      </w:r>
      <w:r>
        <w:tab/>
        <w:t>House</w:t>
      </w:r>
      <w:r>
        <w:tab/>
        <w:t>Read second time (</w:t>
      </w:r>
      <w:hyperlink r:id="rId13" w:history="1">
        <w:r w:rsidRPr="00E86F72">
          <w:rPr>
            <w:rStyle w:val="Hyperlink"/>
          </w:rPr>
          <w:t>House Journal</w:t>
        </w:r>
        <w:r w:rsidRPr="00E86F72">
          <w:rPr>
            <w:rStyle w:val="Hyperlink"/>
          </w:rPr>
          <w:noBreakHyphen/>
          <w:t>page 163</w:t>
        </w:r>
      </w:hyperlink>
      <w:r>
        <w:t>)</w:t>
      </w:r>
    </w:p>
    <w:p w:rsidR="00C11B57" w:rsidRDefault="00C11B57" w:rsidP="00C11B57">
      <w:pPr>
        <w:widowControl w:val="0"/>
        <w:tabs>
          <w:tab w:val="right" w:pos="1008"/>
          <w:tab w:val="left" w:pos="1152"/>
          <w:tab w:val="left" w:pos="1872"/>
          <w:tab w:val="left" w:pos="9187"/>
        </w:tabs>
        <w:ind w:left="2088" w:hanging="2088"/>
      </w:pPr>
      <w:r>
        <w:tab/>
        <w:t>4/6/2022</w:t>
      </w:r>
      <w:r>
        <w:tab/>
        <w:t>House</w:t>
      </w:r>
      <w:r>
        <w:tab/>
        <w:t>Roll call Yeas</w:t>
      </w:r>
      <w:r>
        <w:noBreakHyphen/>
        <w:t>111  Nays</w:t>
      </w:r>
      <w:r>
        <w:noBreakHyphen/>
        <w:t>0 (</w:t>
      </w:r>
      <w:hyperlink r:id="rId14" w:history="1">
        <w:r w:rsidRPr="00E86F72">
          <w:rPr>
            <w:rStyle w:val="Hyperlink"/>
          </w:rPr>
          <w:t>House Journal</w:t>
        </w:r>
        <w:r w:rsidRPr="00E86F72">
          <w:rPr>
            <w:rStyle w:val="Hyperlink"/>
          </w:rPr>
          <w:noBreakHyphen/>
          <w:t>page 167</w:t>
        </w:r>
      </w:hyperlink>
      <w:r>
        <w:t>)</w:t>
      </w:r>
    </w:p>
    <w:p w:rsidR="00C11B57" w:rsidRDefault="00C11B57" w:rsidP="00C11B57">
      <w:pPr>
        <w:widowControl w:val="0"/>
        <w:tabs>
          <w:tab w:val="right" w:pos="1008"/>
          <w:tab w:val="left" w:pos="1152"/>
          <w:tab w:val="left" w:pos="1872"/>
          <w:tab w:val="left" w:pos="9187"/>
        </w:tabs>
        <w:ind w:left="2088" w:hanging="2088"/>
      </w:pPr>
      <w:r>
        <w:tab/>
        <w:t>4/7/2022</w:t>
      </w:r>
      <w:r>
        <w:tab/>
        <w:t>House</w:t>
      </w:r>
      <w:r>
        <w:tab/>
        <w:t>Read third time and sent to Senate</w:t>
      </w:r>
    </w:p>
    <w:p w:rsidR="00C11B57" w:rsidRDefault="00C11B57" w:rsidP="00C11B57">
      <w:pPr>
        <w:widowControl w:val="0"/>
        <w:tabs>
          <w:tab w:val="right" w:pos="1008"/>
          <w:tab w:val="left" w:pos="1152"/>
          <w:tab w:val="left" w:pos="1872"/>
          <w:tab w:val="left" w:pos="9187"/>
        </w:tabs>
        <w:ind w:left="2088" w:hanging="2088"/>
      </w:pPr>
      <w:r>
        <w:tab/>
        <w:t>4/7/2022</w:t>
      </w:r>
      <w:r>
        <w:tab/>
        <w:t>Senate</w:t>
      </w:r>
      <w:r>
        <w:tab/>
        <w:t>Introduced and read first time (</w:t>
      </w:r>
      <w:hyperlink r:id="rId15" w:history="1">
        <w:r w:rsidRPr="00E86F72">
          <w:rPr>
            <w:rStyle w:val="Hyperlink"/>
          </w:rPr>
          <w:t>Senate Journal</w:t>
        </w:r>
        <w:r w:rsidRPr="00E86F72">
          <w:rPr>
            <w:rStyle w:val="Hyperlink"/>
          </w:rPr>
          <w:noBreakHyphen/>
          <w:t>page 4</w:t>
        </w:r>
      </w:hyperlink>
      <w:r>
        <w:t>)</w:t>
      </w:r>
    </w:p>
    <w:p w:rsidR="00C11B57" w:rsidRDefault="00C11B57" w:rsidP="00C11B57">
      <w:pPr>
        <w:widowControl w:val="0"/>
        <w:tabs>
          <w:tab w:val="right" w:pos="1008"/>
          <w:tab w:val="left" w:pos="1152"/>
          <w:tab w:val="left" w:pos="1872"/>
          <w:tab w:val="left" w:pos="9187"/>
        </w:tabs>
        <w:ind w:left="2088" w:hanging="2088"/>
      </w:pPr>
      <w:r>
        <w:tab/>
        <w:t>4/7/2022</w:t>
      </w:r>
      <w:r>
        <w:tab/>
        <w:t>Senate</w:t>
      </w:r>
      <w:r>
        <w:tab/>
        <w:t xml:space="preserve">Referred to Committee on </w:t>
      </w:r>
      <w:r w:rsidRPr="00E86F72">
        <w:rPr>
          <w:b/>
        </w:rPr>
        <w:t>Finance</w:t>
      </w:r>
      <w:r>
        <w:t xml:space="preserve"> (</w:t>
      </w:r>
      <w:hyperlink r:id="rId16" w:history="1">
        <w:r w:rsidRPr="00E86F72">
          <w:rPr>
            <w:rStyle w:val="Hyperlink"/>
          </w:rPr>
          <w:t>Senate Journal</w:t>
        </w:r>
        <w:r w:rsidRPr="00E86F72">
          <w:rPr>
            <w:rStyle w:val="Hyperlink"/>
          </w:rPr>
          <w:noBreakHyphen/>
          <w:t>page 4</w:t>
        </w:r>
      </w:hyperlink>
      <w:r>
        <w:t>)</w:t>
      </w:r>
    </w:p>
    <w:p w:rsidR="00C11B57" w:rsidRDefault="00C11B57" w:rsidP="00C11B57">
      <w:pPr>
        <w:widowControl w:val="0"/>
        <w:tabs>
          <w:tab w:val="right" w:pos="1008"/>
          <w:tab w:val="left" w:pos="1152"/>
          <w:tab w:val="left" w:pos="1872"/>
          <w:tab w:val="left" w:pos="9187"/>
        </w:tabs>
        <w:ind w:left="2088" w:hanging="2088"/>
      </w:pPr>
      <w:r>
        <w:tab/>
        <w:t>4/7/2022</w:t>
      </w:r>
      <w:r>
        <w:tab/>
      </w:r>
      <w:r>
        <w:tab/>
        <w:t>Scrivener's error corrected</w:t>
      </w:r>
    </w:p>
    <w:p w:rsidR="00C11B57" w:rsidRDefault="00C11B57" w:rsidP="00C11B57">
      <w:pPr>
        <w:widowControl w:val="0"/>
        <w:tabs>
          <w:tab w:val="right" w:pos="1008"/>
          <w:tab w:val="left" w:pos="1152"/>
          <w:tab w:val="left" w:pos="1872"/>
          <w:tab w:val="left" w:pos="9187"/>
        </w:tabs>
        <w:ind w:left="2088" w:hanging="2088"/>
      </w:pPr>
      <w:r>
        <w:tab/>
        <w:t>5/4/2022</w:t>
      </w:r>
      <w:r>
        <w:tab/>
        <w:t>Senate</w:t>
      </w:r>
      <w:r>
        <w:tab/>
        <w:t xml:space="preserve">Committee report: Favorable </w:t>
      </w:r>
      <w:r w:rsidRPr="00E86F72">
        <w:rPr>
          <w:b/>
        </w:rPr>
        <w:t>Finance</w:t>
      </w:r>
      <w:r>
        <w:t xml:space="preserve"> (</w:t>
      </w:r>
      <w:hyperlink r:id="rId17" w:history="1">
        <w:r w:rsidRPr="00E86F72">
          <w:rPr>
            <w:rStyle w:val="Hyperlink"/>
          </w:rPr>
          <w:t>Senate Journal</w:t>
        </w:r>
        <w:r w:rsidRPr="00E86F72">
          <w:rPr>
            <w:rStyle w:val="Hyperlink"/>
          </w:rPr>
          <w:noBreakHyphen/>
          <w:t>page 6</w:t>
        </w:r>
      </w:hyperlink>
      <w:r>
        <w:t>)</w:t>
      </w:r>
    </w:p>
    <w:p w:rsidR="00C11B57" w:rsidRDefault="00C11B57" w:rsidP="00C11B57">
      <w:pPr>
        <w:widowControl w:val="0"/>
        <w:tabs>
          <w:tab w:val="right" w:pos="1008"/>
          <w:tab w:val="left" w:pos="1152"/>
          <w:tab w:val="left" w:pos="1872"/>
          <w:tab w:val="left" w:pos="9187"/>
        </w:tabs>
        <w:ind w:left="2088" w:hanging="2088"/>
      </w:pPr>
      <w:r>
        <w:tab/>
        <w:t>5/11/2022</w:t>
      </w:r>
      <w:r>
        <w:tab/>
        <w:t>Senate</w:t>
      </w:r>
      <w:r>
        <w:tab/>
        <w:t>Read second time (</w:t>
      </w:r>
      <w:hyperlink r:id="rId18" w:history="1">
        <w:r w:rsidRPr="00E86F72">
          <w:rPr>
            <w:rStyle w:val="Hyperlink"/>
          </w:rPr>
          <w:t>Senate Journal</w:t>
        </w:r>
        <w:r w:rsidRPr="00E86F72">
          <w:rPr>
            <w:rStyle w:val="Hyperlink"/>
          </w:rPr>
          <w:noBreakHyphen/>
          <w:t>page 32</w:t>
        </w:r>
      </w:hyperlink>
      <w:r>
        <w:t>)</w:t>
      </w:r>
    </w:p>
    <w:p w:rsidR="00C11B57" w:rsidRDefault="00C11B57" w:rsidP="00C11B57">
      <w:pPr>
        <w:widowControl w:val="0"/>
        <w:tabs>
          <w:tab w:val="right" w:pos="1008"/>
          <w:tab w:val="left" w:pos="1152"/>
          <w:tab w:val="left" w:pos="1872"/>
          <w:tab w:val="left" w:pos="9187"/>
        </w:tabs>
        <w:ind w:left="2088" w:hanging="2088"/>
      </w:pPr>
    </w:p>
    <w:p w:rsidR="000421A2" w:rsidRDefault="000421A2" w:rsidP="000421A2">
      <w:pPr>
        <w:widowControl w:val="0"/>
        <w:tabs>
          <w:tab w:val="right" w:pos="1008"/>
          <w:tab w:val="left" w:pos="1152"/>
          <w:tab w:val="left" w:pos="1872"/>
          <w:tab w:val="left" w:pos="9187"/>
        </w:tabs>
        <w:ind w:left="2088" w:hanging="2088"/>
        <w:jc w:val="left"/>
      </w:pPr>
      <w:r>
        <w:t xml:space="preserve">View the latest </w:t>
      </w:r>
      <w:hyperlink r:id="rId19" w:history="1">
        <w:r w:rsidRPr="000421A2">
          <w:rPr>
            <w:rStyle w:val="Hyperlink"/>
          </w:rPr>
          <w:t>legislative information</w:t>
        </w:r>
      </w:hyperlink>
      <w:r>
        <w:t xml:space="preserve"> at the website</w:t>
      </w:r>
    </w:p>
    <w:p w:rsidR="000421A2" w:rsidRDefault="000421A2" w:rsidP="000421A2">
      <w:pPr>
        <w:widowControl w:val="0"/>
        <w:tabs>
          <w:tab w:val="right" w:pos="1008"/>
          <w:tab w:val="left" w:pos="1152"/>
          <w:tab w:val="left" w:pos="1872"/>
          <w:tab w:val="left" w:pos="9187"/>
        </w:tabs>
        <w:ind w:left="2088" w:hanging="2088"/>
        <w:jc w:val="left"/>
      </w:pPr>
    </w:p>
    <w:p w:rsidR="000421A2" w:rsidRPr="000421A2" w:rsidRDefault="000421A2" w:rsidP="000421A2">
      <w:pPr>
        <w:widowControl w:val="0"/>
        <w:tabs>
          <w:tab w:val="right" w:pos="1008"/>
          <w:tab w:val="left" w:pos="1152"/>
          <w:tab w:val="left" w:pos="1872"/>
          <w:tab w:val="left" w:pos="9187"/>
        </w:tabs>
        <w:ind w:left="2088" w:hanging="2088"/>
        <w:jc w:val="left"/>
      </w:pPr>
    </w:p>
    <w:p w:rsidR="000421A2" w:rsidRDefault="000421A2" w:rsidP="000421A2">
      <w:pPr>
        <w:widowControl w:val="0"/>
        <w:jc w:val="left"/>
      </w:pPr>
      <w:r w:rsidRPr="000421A2">
        <w:rPr>
          <w:b/>
        </w:rPr>
        <w:t>VERSIONS OF THIS BILL</w:t>
      </w:r>
    </w:p>
    <w:p w:rsidR="000421A2" w:rsidRDefault="000421A2" w:rsidP="000421A2">
      <w:pPr>
        <w:widowControl w:val="0"/>
        <w:jc w:val="left"/>
      </w:pPr>
    </w:p>
    <w:p w:rsidR="000421A2" w:rsidRDefault="005F76B0" w:rsidP="000421A2">
      <w:pPr>
        <w:widowControl w:val="0"/>
        <w:jc w:val="left"/>
      </w:pPr>
      <w:hyperlink r:id="rId20" w:history="1">
        <w:r w:rsidR="000421A2">
          <w:rPr>
            <w:rStyle w:val="Hyperlink"/>
          </w:rPr>
          <w:t>12/9/2020</w:t>
        </w:r>
      </w:hyperlink>
    </w:p>
    <w:p w:rsidR="000421A2" w:rsidRDefault="005F76B0" w:rsidP="000421A2">
      <w:hyperlink r:id="rId21" w:history="1">
        <w:r w:rsidR="00733761" w:rsidRPr="00733761">
          <w:rPr>
            <w:rStyle w:val="Hyperlink"/>
          </w:rPr>
          <w:t>3/31/2022</w:t>
        </w:r>
      </w:hyperlink>
    </w:p>
    <w:p w:rsidR="00733761" w:rsidRDefault="005F76B0" w:rsidP="000421A2">
      <w:hyperlink r:id="rId22" w:history="1">
        <w:r w:rsidR="002A6C9E" w:rsidRPr="002A6C9E">
          <w:rPr>
            <w:rStyle w:val="Hyperlink"/>
          </w:rPr>
          <w:t>4/1/2022</w:t>
        </w:r>
      </w:hyperlink>
    </w:p>
    <w:p w:rsidR="002A6C9E" w:rsidRDefault="005F76B0" w:rsidP="000421A2">
      <w:hyperlink r:id="rId23" w:history="1">
        <w:r w:rsidR="0049567F" w:rsidRPr="0049567F">
          <w:rPr>
            <w:rStyle w:val="Hyperlink"/>
          </w:rPr>
          <w:t>4/6/2022</w:t>
        </w:r>
      </w:hyperlink>
    </w:p>
    <w:p w:rsidR="0049567F" w:rsidRDefault="005F76B0" w:rsidP="000421A2">
      <w:hyperlink r:id="rId24" w:history="1">
        <w:r w:rsidR="00CB0941" w:rsidRPr="00CB0941">
          <w:rPr>
            <w:rStyle w:val="Hyperlink"/>
          </w:rPr>
          <w:t>4/7/2022</w:t>
        </w:r>
      </w:hyperlink>
    </w:p>
    <w:p w:rsidR="00CB0941" w:rsidRDefault="005F76B0" w:rsidP="000421A2">
      <w:hyperlink r:id="rId25" w:history="1">
        <w:r w:rsidR="00BF188C" w:rsidRPr="00BF188C">
          <w:rPr>
            <w:rStyle w:val="Hyperlink"/>
          </w:rPr>
          <w:t>5/3/2022</w:t>
        </w:r>
      </w:hyperlink>
    </w:p>
    <w:p w:rsidR="00BF188C" w:rsidRDefault="00BF188C" w:rsidP="000421A2"/>
    <w:p w:rsidR="000421A2" w:rsidRDefault="000421A2" w:rsidP="000421A2">
      <w:pPr>
        <w:sectPr w:rsidR="000421A2" w:rsidSect="000421A2">
          <w:pgSz w:w="12240" w:h="15840" w:code="1"/>
          <w:pgMar w:top="1080" w:right="1440" w:bottom="1080" w:left="1440" w:header="720" w:footer="720" w:gutter="0"/>
          <w:cols w:space="720"/>
          <w:noEndnote/>
          <w:docGrid w:linePitch="360"/>
        </w:sectPr>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F188C" w:rsidRPr="00973874"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Pr="00973874" w:rsidRDefault="00BF188C" w:rsidP="00973874">
      <w:pPr>
        <w:tabs>
          <w:tab w:val="right" w:pos="5933"/>
        </w:tabs>
        <w:suppressAutoHyphens/>
      </w:pPr>
      <w:r>
        <w:tab/>
      </w:r>
      <w:r>
        <w:rPr>
          <w:b/>
          <w:sz w:val="36"/>
        </w:rPr>
        <w:t>H. 3106</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G.R. Smith, Dillard, Elliott, Hosey and Willis</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5/3/22--S.</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BF188C" w:rsidRPr="00973874" w:rsidRDefault="00BF188C" w:rsidP="0097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Pr="00973874" w:rsidRDefault="00BF188C" w:rsidP="0097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3106) to amend Sections 9</w:t>
      </w:r>
      <w:r>
        <w:noBreakHyphen/>
        <w:t>1</w:t>
      </w:r>
      <w:r>
        <w:noBreakHyphen/>
        <w:t>1085 and 9</w:t>
      </w:r>
      <w:r>
        <w:noBreakHyphen/>
        <w:t>11</w:t>
      </w:r>
      <w:r>
        <w:noBreakHyphen/>
        <w:t>225, Code of Laws of South Carolina, 1976, both relating to employer and employee contribution rates under, etc., respectfully</w:t>
      </w:r>
    </w:p>
    <w:p w:rsidR="00BF188C" w:rsidRPr="00973874" w:rsidRDefault="00BF188C" w:rsidP="0097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BF188C" w:rsidRPr="00973874" w:rsidRDefault="00BF188C" w:rsidP="0097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188C" w:rsidSect="00D6685D">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Pr="00325348" w:rsidRDefault="00BF188C" w:rsidP="0073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BF188C" w:rsidRDefault="00BF188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Default="00BF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SECTIONS 9</w:t>
      </w:r>
      <w:r>
        <w:noBreakHyphen/>
        <w:t>1</w:t>
      </w:r>
      <w:r>
        <w:noBreakHyphen/>
        <w:t>1085 AND 9</w:t>
      </w:r>
      <w:r>
        <w:noBreakHyphen/>
        <w:t>11</w:t>
      </w:r>
      <w:r>
        <w:noBreakHyphen/>
        <w:t>225, CODE OF LAWS OF SOUTH CAROLINA, 1976, BOTH 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p>
    <w:p w:rsidR="00BF188C" w:rsidRDefault="00BF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188C" w:rsidRDefault="00BF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188C" w:rsidRDefault="00BF1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SECTION</w:t>
      </w:r>
      <w:r w:rsidRPr="00EA7447">
        <w:rPr>
          <w:u w:color="000000" w:themeColor="text1"/>
        </w:rPr>
        <w:tab/>
        <w:t>1.</w:t>
      </w:r>
      <w:r w:rsidRPr="00EA7447">
        <w:rPr>
          <w:u w:color="000000" w:themeColor="text1"/>
        </w:rPr>
        <w:tab/>
        <w:t>A.</w:t>
      </w:r>
      <w:r w:rsidRPr="00EA7447">
        <w:rPr>
          <w:u w:color="000000" w:themeColor="text1"/>
        </w:rPr>
        <w:tab/>
      </w:r>
      <w:r w:rsidRPr="00EA7447">
        <w:rPr>
          <w:u w:color="000000" w:themeColor="text1"/>
        </w:rPr>
        <w:tab/>
        <w:t>Section 9</w:t>
      </w:r>
      <w:r w:rsidRPr="00EA7447">
        <w:rPr>
          <w:u w:color="000000" w:themeColor="text1"/>
        </w:rPr>
        <w:noBreakHyphen/>
        <w:t>1</w:t>
      </w:r>
      <w:r w:rsidRPr="00EA7447">
        <w:rPr>
          <w:u w:color="000000" w:themeColor="text1"/>
        </w:rPr>
        <w:noBreakHyphen/>
        <w:t>1085 of the 1976 Code is amended by adding a new subsection (E) at the end to read:</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Sections 9</w:t>
      </w:r>
      <w:r w:rsidRPr="00EA7447">
        <w:rPr>
          <w:u w:color="000000" w:themeColor="text1"/>
        </w:rPr>
        <w:noBreakHyphen/>
        <w:t>1</w:t>
      </w:r>
      <w:r w:rsidRPr="00EA7447">
        <w:rPr>
          <w:u w:color="000000" w:themeColor="text1"/>
        </w:rPr>
        <w:noBreakHyphen/>
        <w:t>1020 and 9</w:t>
      </w:r>
      <w:r w:rsidRPr="00EA7447">
        <w:rPr>
          <w:u w:color="000000" w:themeColor="text1"/>
        </w:rPr>
        <w:noBreakHyphen/>
        <w:t>1</w:t>
      </w:r>
      <w:r w:rsidRPr="00EA7447">
        <w:rPr>
          <w:u w:color="000000" w:themeColor="text1"/>
        </w:rPr>
        <w:noBreakHyphen/>
        <w:t>1160,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employee contributions. The employer shall pay these employee 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B.</w:t>
      </w:r>
      <w:r w:rsidRPr="00EA7447">
        <w:rPr>
          <w:u w:color="000000" w:themeColor="text1"/>
        </w:rPr>
        <w:tab/>
      </w:r>
      <w:r>
        <w:rPr>
          <w:u w:color="000000" w:themeColor="text1"/>
        </w:rPr>
        <w:tab/>
      </w:r>
      <w:r w:rsidRPr="00EA7447">
        <w:rPr>
          <w:u w:color="000000" w:themeColor="text1"/>
        </w:rPr>
        <w:t>Section 9</w:t>
      </w:r>
      <w:r w:rsidRPr="00EA7447">
        <w:rPr>
          <w:u w:color="000000" w:themeColor="text1"/>
        </w:rPr>
        <w:noBreakHyphen/>
        <w:t>11</w:t>
      </w:r>
      <w:r w:rsidRPr="00EA7447">
        <w:rPr>
          <w:u w:color="000000" w:themeColor="text1"/>
        </w:rPr>
        <w:noBreakHyphen/>
        <w:t>225 of the 1976 Code is amended by adding a new subsection (E) at the end to read:</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 9</w:t>
      </w:r>
      <w:r w:rsidRPr="00EA7447">
        <w:rPr>
          <w:u w:color="000000" w:themeColor="text1"/>
        </w:rPr>
        <w:noBreakHyphen/>
        <w:t>11</w:t>
      </w:r>
      <w:r w:rsidRPr="00EA7447">
        <w:rPr>
          <w:u w:color="000000" w:themeColor="text1"/>
        </w:rPr>
        <w:noBreakHyphen/>
        <w:t>210,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employee contributions. The employer shall pay these employee 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SECTION</w:t>
      </w:r>
      <w:r w:rsidRPr="00EA7447">
        <w:rPr>
          <w:u w:color="000000" w:themeColor="text1"/>
        </w:rPr>
        <w:tab/>
        <w:t>2.</w:t>
      </w:r>
      <w:r w:rsidRPr="00EA7447">
        <w:rPr>
          <w:u w:color="000000" w:themeColor="text1"/>
        </w:rPr>
        <w:tab/>
        <w:t>A.</w:t>
      </w:r>
      <w:r>
        <w:rPr>
          <w:u w:color="000000" w:themeColor="text1"/>
        </w:rPr>
        <w:tab/>
      </w:r>
      <w:r w:rsidRPr="00EA7447">
        <w:rPr>
          <w:u w:color="000000" w:themeColor="text1"/>
        </w:rPr>
        <w:tab/>
        <w:t>Section 9</w:t>
      </w:r>
      <w:r w:rsidRPr="00EA7447">
        <w:rPr>
          <w:u w:color="000000" w:themeColor="text1"/>
        </w:rPr>
        <w:noBreakHyphen/>
        <w:t>1</w:t>
      </w:r>
      <w:r w:rsidRPr="00EA7447">
        <w:rPr>
          <w:u w:color="000000" w:themeColor="text1"/>
        </w:rPr>
        <w:noBreakHyphen/>
        <w:t>10(8) of the 1976 Code is amended by adding an appropriately lettered subitem at the end to read:</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  )</w:t>
      </w:r>
      <w:r w:rsidRPr="00EA7447">
        <w:rPr>
          <w:u w:color="000000" w:themeColor="text1"/>
        </w:rPr>
        <w:tab/>
        <w:t>Employee contributions picked up by an employer pursuant to Section 9</w:t>
      </w:r>
      <w:r w:rsidRPr="00EA7447">
        <w:rPr>
          <w:u w:color="000000" w:themeColor="text1"/>
        </w:rPr>
        <w:noBreakHyphen/>
        <w:t>1</w:t>
      </w:r>
      <w:r w:rsidRPr="00EA7447">
        <w:rPr>
          <w:u w:color="000000" w:themeColor="text1"/>
        </w:rPr>
        <w:noBreakHyphen/>
        <w:t>1085(E) without a reduction or offset from the member’s compensation are not earnable compensation for the purposes of the system.”</w:t>
      </w:r>
    </w:p>
    <w:p w:rsidR="00BF188C" w:rsidRPr="00EA7447" w:rsidRDefault="00BF188C"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B.</w:t>
      </w:r>
      <w:r w:rsidRPr="00EA7447">
        <w:rPr>
          <w:u w:color="000000" w:themeColor="text1"/>
        </w:rPr>
        <w:tab/>
      </w:r>
      <w:r>
        <w:rPr>
          <w:u w:color="000000" w:themeColor="text1"/>
        </w:rPr>
        <w:tab/>
      </w:r>
      <w:r w:rsidRPr="00EA7447">
        <w:rPr>
          <w:u w:color="000000" w:themeColor="text1"/>
        </w:rPr>
        <w:t>Section 9</w:t>
      </w:r>
      <w:r w:rsidRPr="00EA7447">
        <w:rPr>
          <w:u w:color="000000" w:themeColor="text1"/>
        </w:rPr>
        <w:noBreakHyphen/>
        <w:t>11</w:t>
      </w:r>
      <w:r w:rsidRPr="00EA7447">
        <w:rPr>
          <w:u w:color="000000" w:themeColor="text1"/>
        </w:rPr>
        <w:noBreakHyphen/>
        <w:t>10(12) of the 1976 Code is amended to read:</w:t>
      </w:r>
    </w:p>
    <w:p w:rsidR="00BF188C" w:rsidRDefault="00BF188C"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188C" w:rsidRPr="00EA7447" w:rsidRDefault="00BF188C"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“(12)</w:t>
      </w:r>
      <w:r w:rsidRPr="00EA7447">
        <w:rPr>
          <w:u w:color="000000" w:themeColor="text1"/>
        </w:rPr>
        <w:tab/>
      </w:r>
      <w:r w:rsidRPr="00EA7447">
        <w:rPr>
          <w:lang w:val="en-PH"/>
        </w:rPr>
        <w:t>‘Compensation’ means the total remuneration paid to a police officer for service rendered to an employer for his full normal working time; when compensation includes maintenance, fees and other things of value, the board shall fix the value of that part of the compensation not paid in money directly by the employer.</w:t>
      </w:r>
      <w:r w:rsidRPr="00EA7447">
        <w:rPr>
          <w:u w:color="000000" w:themeColor="text1"/>
        </w:rPr>
        <w:t xml:space="preserve">  </w:t>
      </w:r>
      <w:r w:rsidRPr="00EA7447">
        <w:rPr>
          <w:u w:val="single" w:color="000000" w:themeColor="text1"/>
        </w:rPr>
        <w:t>Employee contributions picked up by an employer pursuant to Section 9</w:t>
      </w:r>
      <w:r w:rsidRPr="00EA7447">
        <w:rPr>
          <w:u w:val="single" w:color="000000" w:themeColor="text1"/>
        </w:rPr>
        <w:noBreakHyphen/>
        <w:t>11</w:t>
      </w:r>
      <w:r w:rsidRPr="00EA7447">
        <w:rPr>
          <w:u w:val="single" w:color="000000" w:themeColor="text1"/>
        </w:rPr>
        <w:noBreakHyphen/>
        <w:t>225(E) without a reduction or offset from the member’s compensation are not compensation for the purposes of the system.</w:t>
      </w:r>
      <w:r w:rsidRPr="00EA7447">
        <w:rPr>
          <w:u w:color="000000" w:themeColor="text1"/>
        </w:rPr>
        <w:t>”</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SECTION</w:t>
      </w:r>
      <w:r w:rsidRPr="00EA7447">
        <w:rPr>
          <w:lang w:val="en-PH"/>
        </w:rPr>
        <w:tab/>
        <w:t>3.</w:t>
      </w:r>
      <w:r w:rsidRPr="00EA7447">
        <w:rPr>
          <w:lang w:val="en-PH"/>
        </w:rPr>
        <w:tab/>
        <w:t>A.</w:t>
      </w:r>
      <w:r w:rsidRPr="00EA7447">
        <w:rPr>
          <w:lang w:val="en-PH"/>
        </w:rPr>
        <w:tab/>
        <w:t>Section 9</w:t>
      </w:r>
      <w:r w:rsidRPr="00EA7447">
        <w:rPr>
          <w:lang w:val="en-PH"/>
        </w:rPr>
        <w:noBreakHyphen/>
        <w:t>1</w:t>
      </w:r>
      <w:r w:rsidRPr="00EA7447">
        <w:rPr>
          <w:lang w:val="en-PH"/>
        </w:rPr>
        <w:noBreakHyphen/>
        <w:t>10(1) of the 1976 Code is amended to read:</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“(1)</w:t>
      </w:r>
      <w:r w:rsidRPr="00EA7447">
        <w:rPr>
          <w:lang w:val="en-PH"/>
        </w:rPr>
        <w:tab/>
        <w:t xml:space="preserve">‘Accumulated contribution’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w:t>
      </w:r>
      <w:r w:rsidRPr="00EA7447">
        <w:rPr>
          <w:u w:val="single"/>
          <w:lang w:val="en-PH"/>
        </w:rPr>
        <w:noBreakHyphen/>
        <w:t>1085(E)</w:t>
      </w:r>
      <w:r w:rsidRPr="00EA7447">
        <w:rPr>
          <w:lang w:val="en-PH"/>
        </w:rPr>
        <w:t xml:space="preserve"> and credited to the </w:t>
      </w:r>
      <w:r w:rsidRPr="00EA7447">
        <w:rPr>
          <w:strike/>
          <w:lang w:val="en-PH"/>
        </w:rPr>
        <w:t>members</w:t>
      </w:r>
      <w:r w:rsidRPr="00EA7447">
        <w:rPr>
          <w:lang w:val="en-PH"/>
        </w:rPr>
        <w:t xml:space="preserve"> </w:t>
      </w:r>
      <w:r w:rsidRPr="00EA7447">
        <w:rPr>
          <w:u w:val="single"/>
          <w:lang w:val="en-PH"/>
        </w:rPr>
        <w:t>member’s</w:t>
      </w:r>
      <w:r w:rsidRPr="00EA7447">
        <w:rPr>
          <w:lang w:val="en-PH"/>
        </w:rPr>
        <w:t xml:space="preserve"> individual account in the employee annuity savings fund, together with regular interest on the account, as provided in Article 9 of this chapter.”</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B.</w:t>
      </w:r>
      <w:r w:rsidRPr="00EA7447">
        <w:rPr>
          <w:lang w:val="en-PH"/>
        </w:rPr>
        <w:tab/>
      </w:r>
      <w:r>
        <w:rPr>
          <w:lang w:val="en-PH"/>
        </w:rPr>
        <w:tab/>
      </w:r>
      <w:r w:rsidRPr="00EA7447">
        <w:rPr>
          <w:lang w:val="en-PH"/>
        </w:rPr>
        <w:t>Section 9</w:t>
      </w:r>
      <w:r w:rsidRPr="00EA7447">
        <w:rPr>
          <w:lang w:val="en-PH"/>
        </w:rPr>
        <w:noBreakHyphen/>
        <w:t>11</w:t>
      </w:r>
      <w:r w:rsidRPr="00EA7447">
        <w:rPr>
          <w:lang w:val="en-PH"/>
        </w:rPr>
        <w:noBreakHyphen/>
        <w:t>10(2) and (6) of the 1976 Code is amended to read:</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“(2)</w:t>
      </w:r>
      <w:r w:rsidRPr="00EA7447">
        <w:rPr>
          <w:lang w:val="en-PH"/>
        </w:rPr>
        <w:tab/>
        <w:t xml:space="preserve">‘Accumulated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employee annuity savings fund, together with regular interest on the account, as provided in this chapter.</w:t>
      </w: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(6)</w:t>
      </w:r>
      <w:r w:rsidRPr="00EA7447">
        <w:rPr>
          <w:lang w:val="en-PH"/>
        </w:rPr>
        <w:tab/>
        <w:t xml:space="preserve">‘Aggregate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system, including any amounts transferred from another fund to the system as provided in Section 9</w:t>
      </w:r>
      <w:r w:rsidRPr="00EA7447">
        <w:rPr>
          <w:lang w:val="en-PH"/>
        </w:rPr>
        <w:noBreakHyphen/>
        <w:t>11</w:t>
      </w:r>
      <w:r w:rsidRPr="00EA7447">
        <w:rPr>
          <w:lang w:val="en-PH"/>
        </w:rPr>
        <w:noBreakHyphen/>
        <w:t>210(6).”</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C.</w:t>
      </w:r>
      <w:r w:rsidRPr="00EA7447">
        <w:rPr>
          <w:lang w:val="en-PH"/>
        </w:rPr>
        <w:tab/>
      </w:r>
      <w:r>
        <w:rPr>
          <w:lang w:val="en-PH"/>
        </w:rPr>
        <w:tab/>
      </w:r>
      <w:r w:rsidRPr="00EA7447">
        <w:rPr>
          <w:u w:color="000000" w:themeColor="text1"/>
        </w:rPr>
        <w:t>Section 9</w:t>
      </w:r>
      <w:r w:rsidRPr="00EA7447">
        <w:rPr>
          <w:u w:color="000000" w:themeColor="text1"/>
        </w:rPr>
        <w:noBreakHyphen/>
        <w:t>11</w:t>
      </w:r>
      <w:r w:rsidRPr="00EA7447">
        <w:rPr>
          <w:u w:color="000000" w:themeColor="text1"/>
        </w:rPr>
        <w:noBreakHyphen/>
        <w:t>260(2) of the 1976 Code is amended to read:</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“(2)</w:t>
      </w:r>
      <w:r w:rsidRPr="00EA7447">
        <w:rPr>
          <w:u w:color="000000" w:themeColor="text1"/>
        </w:rPr>
        <w:tab/>
      </w:r>
      <w:r w:rsidRPr="00EA7447">
        <w:rPr>
          <w:lang w:val="en-PH"/>
        </w:rPr>
        <w:t xml:space="preserve">The members’ account shall be the account in which shall be held the contributions deducted from the compensation of members </w:t>
      </w:r>
      <w:r w:rsidRPr="00EA7447">
        <w:rPr>
          <w:u w:val="single"/>
          <w:lang w:val="en-PH"/>
        </w:rPr>
        <w:t>and amounts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together with the interest credited thereon. Upon the retirement of a member, or upon the death of a member if an allowance is payable to his beneficiary pursuant to Section 9</w:t>
      </w:r>
      <w:r w:rsidRPr="00EA7447">
        <w:rPr>
          <w:lang w:val="en-PH"/>
        </w:rPr>
        <w:noBreakHyphen/>
        <w:t>11</w:t>
      </w:r>
      <w:r w:rsidRPr="00EA7447">
        <w:rPr>
          <w:lang w:val="en-PH"/>
        </w:rPr>
        <w:noBreakHyphen/>
        <w:t>130, the amount of his accumulated contributions shall be transferred to the accumulation account.”</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SECTION</w:t>
      </w:r>
      <w:r w:rsidRPr="00EA7447">
        <w:rPr>
          <w:lang w:val="en-PH"/>
        </w:rPr>
        <w:tab/>
        <w:t>4.</w:t>
      </w:r>
      <w:r w:rsidRPr="00EA7447">
        <w:rPr>
          <w:lang w:val="en-PH"/>
        </w:rPr>
        <w:tab/>
        <w:t>A.</w:t>
      </w:r>
      <w:r w:rsidRPr="00EA7447">
        <w:rPr>
          <w:lang w:val="en-PH"/>
        </w:rPr>
        <w:tab/>
      </w:r>
      <w:r>
        <w:rPr>
          <w:lang w:val="en-PH"/>
        </w:rPr>
        <w:tab/>
      </w:r>
      <w:r w:rsidRPr="00EA7447">
        <w:rPr>
          <w:u w:color="000000" w:themeColor="text1"/>
        </w:rPr>
        <w:t>The fourth undesignated paragraph of Section 9</w:t>
      </w:r>
      <w:r w:rsidRPr="00EA7447">
        <w:rPr>
          <w:u w:color="000000" w:themeColor="text1"/>
        </w:rPr>
        <w:noBreakHyphen/>
        <w:t>1</w:t>
      </w:r>
      <w:r w:rsidRPr="00EA7447">
        <w:rPr>
          <w:u w:color="000000" w:themeColor="text1"/>
        </w:rPr>
        <w:noBreakHyphen/>
        <w:t>1020 is amended to read:</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w:t>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w:t>
      </w:r>
      <w:r w:rsidRPr="00EA7447">
        <w:rPr>
          <w:strike/>
          <w:lang w:val="en-PH"/>
        </w:rPr>
        <w:t>each 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w:t>
      </w:r>
      <w:r w:rsidRPr="00EA7447">
        <w:rPr>
          <w:strike/>
          <w:lang w:val="en-PH"/>
        </w:rPr>
        <w:t>employer</w:t>
      </w:r>
      <w:r w:rsidRPr="00EA7447">
        <w:rPr>
          <w:lang w:val="en-PH"/>
        </w:rPr>
        <w:t xml:space="preserve"> </w:t>
      </w:r>
      <w:r w:rsidRPr="00EA7447">
        <w:rPr>
          <w:u w:val="single"/>
          <w:lang w:val="en-PH"/>
        </w:rPr>
        <w:t>employee</w:t>
      </w:r>
      <w:r w:rsidRPr="00EA7447">
        <w:rPr>
          <w:lang w:val="en-PH"/>
        </w:rPr>
        <w:t xml:space="preserve">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employer may pick up these contributions by a reduction in the </w:t>
      </w:r>
      <w:r w:rsidRPr="00EA7447">
        <w:rPr>
          <w:strike/>
          <w:lang w:val="en-PH"/>
        </w:rPr>
        <w:t>cash salary of the employee</w:t>
      </w:r>
      <w:r w:rsidRPr="00EA7447">
        <w:rPr>
          <w:lang w:val="en-PH"/>
        </w:rPr>
        <w:t xml:space="preserve"> </w:t>
      </w:r>
      <w:r w:rsidRPr="00EA7447">
        <w:rPr>
          <w:u w:val="single"/>
          <w:lang w:val="en-PH"/>
        </w:rPr>
        <w:t>compensation 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B.</w:t>
      </w:r>
      <w:r w:rsidRPr="00EA7447">
        <w:rPr>
          <w:lang w:val="en-PH"/>
        </w:rPr>
        <w:tab/>
      </w:r>
      <w:r>
        <w:rPr>
          <w:lang w:val="en-PH"/>
        </w:rPr>
        <w:tab/>
      </w:r>
      <w:r w:rsidRPr="00EA7447">
        <w:rPr>
          <w:lang w:val="en-PH"/>
        </w:rPr>
        <w:t>Section 9</w:t>
      </w:r>
      <w:r w:rsidRPr="00EA7447">
        <w:rPr>
          <w:lang w:val="en-PH"/>
        </w:rPr>
        <w:noBreakHyphen/>
        <w:t>1</w:t>
      </w:r>
      <w:r w:rsidRPr="00EA7447">
        <w:rPr>
          <w:lang w:val="en-PH"/>
        </w:rPr>
        <w:noBreakHyphen/>
        <w:t>1160(B) of the 1976 Code is amended to read:</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“(B)</w:t>
      </w:r>
      <w:r w:rsidRPr="00EA7447">
        <w:rPr>
          <w:lang w:val="en-PH"/>
        </w:rPr>
        <w:tab/>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picked up must be treated as employer contributions in determining federal tax treatment under </w:t>
      </w:r>
      <w:r w:rsidRPr="00EA7447">
        <w:rPr>
          <w:u w:val="single"/>
          <w:lang w:val="en-PH"/>
        </w:rPr>
        <w:t>Section 414(h)(2) of</w:t>
      </w:r>
      <w:r w:rsidRPr="00EA7447">
        <w:rPr>
          <w:lang w:val="en-PH"/>
        </w:rPr>
        <w:t xml:space="preserve"> the United States Internal Revenue Code. </w:t>
      </w:r>
      <w:r w:rsidRPr="00EA7447">
        <w:rPr>
          <w:strike/>
          <w:lang w:val="en-PH"/>
        </w:rPr>
        <w:t>Each department and political subdivision shall continue to withhold federal income taxes based upon these contributions until the Internal Revenue Service, or the federal courts, rule, pursuant to Section 414(h) of the United States Internal Revenue Code, that these contributions are not included as gross income of the employee until such time as they are distributed or made available.</w:t>
      </w:r>
      <w:r w:rsidRPr="00EA7447">
        <w:rPr>
          <w:lang w:val="en-PH"/>
        </w:rPr>
        <w:t xml:space="preserve">  </w:t>
      </w:r>
      <w:r w:rsidRPr="00EA7447">
        <w:rPr>
          <w:u w:val="single"/>
          <w:lang w:val="en-PH"/>
        </w:rPr>
        <w:t>For this purpose, each employer is considered to have taken formal action to provide that the contributions on behalf of its employees, although designated as employee contributions, must be paid by the employer in lieu of employee contributions.</w:t>
      </w:r>
      <w:r w:rsidRPr="00EA7447">
        <w:rPr>
          <w:lang w:val="en-PH"/>
        </w:rPr>
        <w:t xml:space="preserv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 xml:space="preserve">. Employee contributions picked up must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manner and to the extent as employee contributions made before the date picked up.”</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C.</w:t>
      </w:r>
      <w:r w:rsidRPr="00EA7447">
        <w:rPr>
          <w:u w:color="000000" w:themeColor="text1"/>
        </w:rPr>
        <w:tab/>
      </w:r>
      <w:r>
        <w:rPr>
          <w:u w:color="000000" w:themeColor="text1"/>
        </w:rPr>
        <w:tab/>
      </w:r>
      <w:r w:rsidRPr="00EA7447">
        <w:rPr>
          <w:u w:color="000000" w:themeColor="text1"/>
        </w:rPr>
        <w:t>Section 9</w:t>
      </w:r>
      <w:r w:rsidRPr="00EA7447">
        <w:rPr>
          <w:u w:color="000000" w:themeColor="text1"/>
        </w:rPr>
        <w:noBreakHyphen/>
        <w:t>11</w:t>
      </w:r>
      <w:r w:rsidRPr="00EA7447">
        <w:rPr>
          <w:u w:color="000000" w:themeColor="text1"/>
        </w:rPr>
        <w:noBreakHyphen/>
        <w:t>210(11) of the 1976 Code is amended to read:</w:t>
      </w:r>
    </w:p>
    <w:p w:rsidR="00BF188C"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188C" w:rsidRPr="00EA7447" w:rsidRDefault="00BF188C"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“(11)</w:t>
      </w:r>
      <w:r w:rsidRPr="00EA7447">
        <w:rPr>
          <w:u w:color="000000" w:themeColor="text1"/>
        </w:rPr>
        <w:tab/>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employer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11</w:t>
      </w:r>
      <w:r w:rsidRPr="00EA7447">
        <w:rPr>
          <w:u w:val="single"/>
          <w:lang w:val="en-PH"/>
        </w:rPr>
        <w:noBreakHyphen/>
        <w:t>225(E), it may pay the amount designated as an employee contribution without a reduction or offset from the employee’s compensation</w:t>
      </w:r>
      <w:r w:rsidRPr="00EA7447">
        <w:rPr>
          <w:lang w:val="en-PH"/>
        </w:rPr>
        <w:t xml:space="preserve">. The employee, however, must not be given </w:t>
      </w:r>
      <w:r w:rsidRPr="00EA7447">
        <w:rPr>
          <w:strike/>
          <w:lang w:val="en-PH"/>
        </w:rPr>
        <w:t>the</w:t>
      </w:r>
      <w:r w:rsidRPr="00EA7447">
        <w:rPr>
          <w:lang w:val="en-PH"/>
        </w:rPr>
        <w:t xml:space="preserve"> </w:t>
      </w:r>
      <w:r w:rsidRPr="00EA7447">
        <w:rPr>
          <w:u w:val="single"/>
          <w:lang w:val="en-PH"/>
        </w:rPr>
        <w:t>any</w:t>
      </w:r>
      <w:r w:rsidRPr="00EA7447">
        <w:rPr>
          <w:lang w:val="en-PH"/>
        </w:rPr>
        <w:t xml:space="preserve"> option of choosing to receive the contributed amount of the pickups directly instead of having them paid by the employer to the retirement system. Employee contributions picked up shall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manner and to the extent as employee contributions made prior to the date picked up.”</w:t>
      </w:r>
    </w:p>
    <w:p w:rsidR="00BF188C" w:rsidRDefault="00BF188C" w:rsidP="001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F188C" w:rsidRPr="00EA7447" w:rsidRDefault="00BF188C" w:rsidP="001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SECTION</w:t>
      </w:r>
      <w:r w:rsidRPr="00EA7447">
        <w:rPr>
          <w:lang w:val="en-PH"/>
        </w:rPr>
        <w:tab/>
        <w:t>5.</w:t>
      </w:r>
      <w:r w:rsidRPr="00EA7447">
        <w:rPr>
          <w:lang w:val="en-PH"/>
        </w:rPr>
        <w:tab/>
        <w:t>This act takes effect upon approval by the Governor.</w:t>
      </w:r>
    </w:p>
    <w:p w:rsidR="00BF188C" w:rsidRDefault="00BF188C" w:rsidP="001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21A2" w:rsidRDefault="000421A2" w:rsidP="00BF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421A2" w:rsidSect="00D6685D">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1E98" w:rsidRDefault="00641E98" w:rsidP="009F0C77">
      <w:r>
        <w:separator/>
      </w:r>
    </w:p>
  </w:endnote>
  <w:endnote w:type="continuationSeparator" w:id="0">
    <w:p w:rsidR="00641E98" w:rsidRDefault="00641E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8C95838-EA42-4CE3-AF89-5339A26C302C}"/>
    <w:embedBold r:id="rId2" w:fontKey="{31B54D90-4119-4020-A88A-0C0DBF97B8C7}"/>
  </w:font>
  <w:font w:name="Calibri">
    <w:panose1 w:val="020F0502020204030204"/>
    <w:charset w:val="00"/>
    <w:family w:val="swiss"/>
    <w:pitch w:val="variable"/>
    <w:sig w:usb0="E4002EFF" w:usb1="C000247B" w:usb2="00000009" w:usb3="00000000" w:csb0="000001FF" w:csb1="00000000"/>
    <w:embedRegular r:id="rId3" w:fontKey="{0DD78F40-FF33-4924-A90E-2304E5062609}"/>
  </w:font>
  <w:font w:name="Segoe UI">
    <w:panose1 w:val="020B0502040204020203"/>
    <w:charset w:val="00"/>
    <w:family w:val="swiss"/>
    <w:pitch w:val="variable"/>
    <w:sig w:usb0="E4002EFF" w:usb1="C000E47F" w:usb2="00000009" w:usb3="00000000" w:csb0="000001FF" w:csb1="00000000"/>
    <w:embedRegular r:id="rId4" w:fontKey="{91F46C7C-4A31-4923-8F09-9883F245A458}"/>
  </w:font>
  <w:font w:name="Cambria">
    <w:panose1 w:val="02040503050406030204"/>
    <w:charset w:val="00"/>
    <w:family w:val="roman"/>
    <w:pitch w:val="variable"/>
    <w:sig w:usb0="E00006FF" w:usb1="420024FF" w:usb2="02000000" w:usb3="00000000" w:csb0="0000019F" w:csb1="00000000"/>
    <w:embedRegular r:id="rId5" w:fontKey="{DD027EA8-6716-46AD-83D8-11970905BB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188C" w:rsidRPr="00732593" w:rsidRDefault="00BF188C" w:rsidP="00732593">
    <w:pPr>
      <w:pStyle w:val="Footer"/>
      <w:tabs>
        <w:tab w:val="clear" w:pos="4680"/>
        <w:tab w:val="clear" w:pos="9360"/>
        <w:tab w:val="center" w:pos="2995"/>
      </w:tabs>
      <w:spacing w:before="120"/>
    </w:pPr>
    <w:r>
      <w:t>[3106-</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685D" w:rsidRPr="00732593" w:rsidRDefault="00BF188C" w:rsidP="00732593">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1E98" w:rsidRDefault="00641E98" w:rsidP="009F0C77">
      <w:r>
        <w:separator/>
      </w:r>
    </w:p>
  </w:footnote>
  <w:footnote w:type="continuationSeparator" w:id="0">
    <w:p w:rsidR="00641E98" w:rsidRDefault="00641E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0158SA21"/>
    <w:docVar w:name="CoverBillType" w:val="b"/>
    <w:docVar w:name="DocPath" w:val="L:\Council\bills\SM\20158SA21.DOCX"/>
    <w:docVar w:name="dvBillNumber" w:val="3106"/>
    <w:docVar w:name="dvBillNumberPrefix" w:val="H. "/>
    <w:docVar w:name="dvOriginalBody" w:val="House"/>
    <w:docVar w:name="dvSteno" w:val="SM"/>
    <w:docVar w:name="NameofBody" w:val="h"/>
    <w:docVar w:name="vGroup2" w:val="Council"/>
  </w:docVars>
  <w:rsids>
    <w:rsidRoot w:val="00641E98"/>
    <w:rsid w:val="00011869"/>
    <w:rsid w:val="00015CD6"/>
    <w:rsid w:val="000421A2"/>
    <w:rsid w:val="0005552F"/>
    <w:rsid w:val="000A25DB"/>
    <w:rsid w:val="000E0100"/>
    <w:rsid w:val="000E1785"/>
    <w:rsid w:val="000F40FA"/>
    <w:rsid w:val="001035F1"/>
    <w:rsid w:val="0010776B"/>
    <w:rsid w:val="00126AC7"/>
    <w:rsid w:val="00133E66"/>
    <w:rsid w:val="001435A3"/>
    <w:rsid w:val="00146ED3"/>
    <w:rsid w:val="00151044"/>
    <w:rsid w:val="001B4436"/>
    <w:rsid w:val="001D08F2"/>
    <w:rsid w:val="001D3A58"/>
    <w:rsid w:val="001D525B"/>
    <w:rsid w:val="001D7F4F"/>
    <w:rsid w:val="00205238"/>
    <w:rsid w:val="002103D8"/>
    <w:rsid w:val="002321B6"/>
    <w:rsid w:val="00232912"/>
    <w:rsid w:val="00250967"/>
    <w:rsid w:val="002543C8"/>
    <w:rsid w:val="0025541D"/>
    <w:rsid w:val="00276A70"/>
    <w:rsid w:val="00284AAE"/>
    <w:rsid w:val="0028578C"/>
    <w:rsid w:val="002A6C9E"/>
    <w:rsid w:val="002D51B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67F"/>
    <w:rsid w:val="004C2AF3"/>
    <w:rsid w:val="004E7D54"/>
    <w:rsid w:val="005273C6"/>
    <w:rsid w:val="00530A69"/>
    <w:rsid w:val="00545593"/>
    <w:rsid w:val="00556EBF"/>
    <w:rsid w:val="0057019F"/>
    <w:rsid w:val="00574E7A"/>
    <w:rsid w:val="00577C6C"/>
    <w:rsid w:val="00584CC8"/>
    <w:rsid w:val="005A62FE"/>
    <w:rsid w:val="005B07B8"/>
    <w:rsid w:val="005C2FE2"/>
    <w:rsid w:val="005E2BC9"/>
    <w:rsid w:val="00605102"/>
    <w:rsid w:val="006215AA"/>
    <w:rsid w:val="00641E98"/>
    <w:rsid w:val="00655A20"/>
    <w:rsid w:val="006913C9"/>
    <w:rsid w:val="0069470D"/>
    <w:rsid w:val="006D58AA"/>
    <w:rsid w:val="00702409"/>
    <w:rsid w:val="00732593"/>
    <w:rsid w:val="00733761"/>
    <w:rsid w:val="00734F00"/>
    <w:rsid w:val="00736959"/>
    <w:rsid w:val="007A70AE"/>
    <w:rsid w:val="007B1AA3"/>
    <w:rsid w:val="007E6177"/>
    <w:rsid w:val="008362E8"/>
    <w:rsid w:val="0085786E"/>
    <w:rsid w:val="0086560C"/>
    <w:rsid w:val="008A1768"/>
    <w:rsid w:val="008A489F"/>
    <w:rsid w:val="008F0F33"/>
    <w:rsid w:val="008F4429"/>
    <w:rsid w:val="0094021A"/>
    <w:rsid w:val="00943921"/>
    <w:rsid w:val="009B44AF"/>
    <w:rsid w:val="009C6A0B"/>
    <w:rsid w:val="009F0C77"/>
    <w:rsid w:val="009F4DD1"/>
    <w:rsid w:val="00A02543"/>
    <w:rsid w:val="00A41684"/>
    <w:rsid w:val="00A4187B"/>
    <w:rsid w:val="00A5120A"/>
    <w:rsid w:val="00A64E80"/>
    <w:rsid w:val="00A72BCD"/>
    <w:rsid w:val="00A741D9"/>
    <w:rsid w:val="00A74F7D"/>
    <w:rsid w:val="00A833AB"/>
    <w:rsid w:val="00A9741D"/>
    <w:rsid w:val="00AC34A2"/>
    <w:rsid w:val="00AD1C9A"/>
    <w:rsid w:val="00AD4B17"/>
    <w:rsid w:val="00B412D4"/>
    <w:rsid w:val="00B64FFF"/>
    <w:rsid w:val="00B80C66"/>
    <w:rsid w:val="00BE3C22"/>
    <w:rsid w:val="00BF188C"/>
    <w:rsid w:val="00C0345E"/>
    <w:rsid w:val="00C11B57"/>
    <w:rsid w:val="00C21ABE"/>
    <w:rsid w:val="00C31C95"/>
    <w:rsid w:val="00C3483A"/>
    <w:rsid w:val="00C74E9D"/>
    <w:rsid w:val="00C826DD"/>
    <w:rsid w:val="00C82FD3"/>
    <w:rsid w:val="00C92819"/>
    <w:rsid w:val="00CB0941"/>
    <w:rsid w:val="00CC6B7B"/>
    <w:rsid w:val="00CD2089"/>
    <w:rsid w:val="00D73A67"/>
    <w:rsid w:val="00D7426D"/>
    <w:rsid w:val="00D970A9"/>
    <w:rsid w:val="00DA60D9"/>
    <w:rsid w:val="00DD5141"/>
    <w:rsid w:val="00DF3845"/>
    <w:rsid w:val="00E41911"/>
    <w:rsid w:val="00E44B57"/>
    <w:rsid w:val="00E92EEF"/>
    <w:rsid w:val="00EB4689"/>
    <w:rsid w:val="00EF2368"/>
    <w:rsid w:val="00F24442"/>
    <w:rsid w:val="00F43735"/>
    <w:rsid w:val="00F50AE3"/>
    <w:rsid w:val="00F5348B"/>
    <w:rsid w:val="00F655B7"/>
    <w:rsid w:val="00F656BA"/>
    <w:rsid w:val="00F67CF1"/>
    <w:rsid w:val="00F728AA"/>
    <w:rsid w:val="00F828C1"/>
    <w:rsid w:val="00F840F0"/>
    <w:rsid w:val="00F94689"/>
    <w:rsid w:val="00FB0D0D"/>
    <w:rsid w:val="00FB43B4"/>
    <w:rsid w:val="00FB6B0B"/>
    <w:rsid w:val="00FC6D0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BDEC47-939F-4EB4-9EFA-3C1DB102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F7D"/>
    <w:rPr>
      <w:rFonts w:ascii="Segoe UI" w:eastAsia="Times New Roman" w:hAnsi="Segoe UI" w:cs="Segoe UI"/>
      <w:sz w:val="18"/>
      <w:szCs w:val="18"/>
    </w:rPr>
  </w:style>
  <w:style w:type="character" w:styleId="Hyperlink">
    <w:name w:val="Hyperlink"/>
    <w:basedOn w:val="DefaultParagraphFont"/>
    <w:uiPriority w:val="99"/>
    <w:unhideWhenUsed/>
    <w:rsid w:val="000421A2"/>
    <w:rPr>
      <w:color w:val="0000FF" w:themeColor="hyperlink"/>
      <w:u w:val="single"/>
    </w:rPr>
  </w:style>
  <w:style w:type="character" w:customStyle="1" w:styleId="UnresolvedMention1">
    <w:name w:val="Unresolved Mention1"/>
    <w:basedOn w:val="DefaultParagraphFont"/>
    <w:uiPriority w:val="99"/>
    <w:semiHidden/>
    <w:unhideWhenUsed/>
    <w:rsid w:val="00BF1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406.docx" TargetMode="External"/><Relationship Id="rId18" Type="http://schemas.openxmlformats.org/officeDocument/2006/relationships/hyperlink" Target="file:///h:\sj\20220511.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21-22\3106_20220331.docx" TargetMode="External"/><Relationship Id="rId7" Type="http://schemas.openxmlformats.org/officeDocument/2006/relationships/hyperlink" Target="file:///h:\hj\20210112.docx" TargetMode="External"/><Relationship Id="rId12" Type="http://schemas.openxmlformats.org/officeDocument/2006/relationships/hyperlink" Target="file:///h:\hj\20220406.docx" TargetMode="External"/><Relationship Id="rId17" Type="http://schemas.openxmlformats.org/officeDocument/2006/relationships/hyperlink" Target="file:///h:\sj\20220504.docx" TargetMode="External"/><Relationship Id="rId25" Type="http://schemas.openxmlformats.org/officeDocument/2006/relationships/hyperlink" Target="file:///p:\pprever\2021-22\3106_20220503.docx" TargetMode="External"/><Relationship Id="rId2" Type="http://schemas.openxmlformats.org/officeDocument/2006/relationships/styles" Target="styles.xml"/><Relationship Id="rId16" Type="http://schemas.openxmlformats.org/officeDocument/2006/relationships/hyperlink" Target="file:///h:\sj\20220407.docx" TargetMode="External"/><Relationship Id="rId20" Type="http://schemas.openxmlformats.org/officeDocument/2006/relationships/hyperlink" Target="file:///p:\pprever\2021-22\3106_20201209.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24" Type="http://schemas.openxmlformats.org/officeDocument/2006/relationships/hyperlink" Target="file:///p:\pprever\2021-22\3106_20220407.docx" TargetMode="External"/><Relationship Id="rId5" Type="http://schemas.openxmlformats.org/officeDocument/2006/relationships/footnotes" Target="footnotes.xml"/><Relationship Id="rId15" Type="http://schemas.openxmlformats.org/officeDocument/2006/relationships/hyperlink" Target="file:///h:\sj\20220407.docx" TargetMode="External"/><Relationship Id="rId23" Type="http://schemas.openxmlformats.org/officeDocument/2006/relationships/hyperlink" Target="file:///p:\pprever\2021-22\3106_20220406.docx" TargetMode="External"/><Relationship Id="rId28" Type="http://schemas.openxmlformats.org/officeDocument/2006/relationships/fontTable" Target="fontTable.xml"/><Relationship Id="rId10" Type="http://schemas.openxmlformats.org/officeDocument/2006/relationships/hyperlink" Target="file:///h:\hj\20220405.docx" TargetMode="External"/><Relationship Id="rId19" Type="http://schemas.openxmlformats.org/officeDocument/2006/relationships/hyperlink" Target="http://www.scstatehouse.gov/billsearch.php?billnumbers=3106&amp;session=124&amp;summary=B" TargetMode="Externa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hj\20220406.docx" TargetMode="External"/><Relationship Id="rId22" Type="http://schemas.openxmlformats.org/officeDocument/2006/relationships/hyperlink" Target="file:///p:\pprever\2021-22\3106_20220401.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46926-5566-4AAC-9E50-BE3D22218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2199</Words>
  <Characters>12540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3106: Subject not yet available - South Carolina Legislature Online</dc:title>
  <dc:creator>Stacey Morris</dc:creator>
  <cp:lastModifiedBy>Sade Wilson</cp:lastModifiedBy>
  <cp:revision>2</cp:revision>
  <cp:lastPrinted>2020-12-08T20:17:00Z</cp:lastPrinted>
  <dcterms:created xsi:type="dcterms:W3CDTF">2022-05-12T14:24:00Z</dcterms:created>
  <dcterms:modified xsi:type="dcterms:W3CDTF">2022-05-12T14:24:00Z</dcterms:modified>
</cp:coreProperties>
</file>