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A16" w:rsidRDefault="008E1A16" w:rsidP="008E1A16">
      <w:pPr>
        <w:widowControl w:val="0"/>
        <w:jc w:val="center"/>
      </w:pPr>
      <w:r w:rsidRPr="008E1A16">
        <w:rPr>
          <w:b/>
        </w:rPr>
        <w:t>South Carolina General Assembly</w:t>
      </w:r>
    </w:p>
    <w:p w:rsidR="008E1A16" w:rsidRDefault="008E1A16" w:rsidP="008E1A16">
      <w:pPr>
        <w:widowControl w:val="0"/>
        <w:jc w:val="center"/>
      </w:pPr>
      <w:r>
        <w:t>124th Session, 2021-2022</w:t>
      </w:r>
    </w:p>
    <w:p w:rsidR="008E1A16" w:rsidRDefault="008E1A16" w:rsidP="008E1A16">
      <w:pPr>
        <w:widowControl w:val="0"/>
        <w:jc w:val="left"/>
      </w:pPr>
    </w:p>
    <w:p w:rsidR="008E1A16" w:rsidRDefault="008E1A16" w:rsidP="008E1A16">
      <w:pPr>
        <w:widowControl w:val="0"/>
        <w:jc w:val="left"/>
        <w:rPr>
          <w:b/>
        </w:rPr>
      </w:pPr>
      <w:r w:rsidRPr="008E1A16">
        <w:rPr>
          <w:b/>
        </w:rPr>
        <w:t>H. 3115</w:t>
      </w:r>
    </w:p>
    <w:p w:rsidR="008E1A16" w:rsidRDefault="008E1A16" w:rsidP="008E1A16">
      <w:pPr>
        <w:widowControl w:val="0"/>
        <w:jc w:val="left"/>
        <w:rPr>
          <w:b/>
        </w:rPr>
      </w:pPr>
    </w:p>
    <w:p w:rsidR="008E1A16" w:rsidRDefault="008E1A16" w:rsidP="008E1A16">
      <w:pPr>
        <w:widowControl w:val="0"/>
        <w:jc w:val="left"/>
      </w:pPr>
      <w:r w:rsidRPr="008E1A16">
        <w:rPr>
          <w:b/>
        </w:rPr>
        <w:t>STATUS INFORMATION</w:t>
      </w:r>
    </w:p>
    <w:p w:rsidR="008E1A16" w:rsidRDefault="008E1A16" w:rsidP="008E1A16">
      <w:pPr>
        <w:widowControl w:val="0"/>
        <w:jc w:val="left"/>
      </w:pPr>
    </w:p>
    <w:p w:rsidR="008E1A16" w:rsidRDefault="008E1A16" w:rsidP="008E1A16">
      <w:pPr>
        <w:widowControl w:val="0"/>
        <w:jc w:val="left"/>
      </w:pPr>
      <w:r>
        <w:t>General Bill</w:t>
      </w:r>
    </w:p>
    <w:p w:rsidR="008E1A16" w:rsidRDefault="00047273" w:rsidP="008E1A16">
      <w:pPr>
        <w:widowControl w:val="0"/>
        <w:jc w:val="left"/>
      </w:pPr>
      <w:r>
        <w:t>Sponsors: Reps. Davis, Thigpen, B. Cox, Haddon, Oremus, M.M. Smith, Thayer, McCravy, W. Cox, White, West, Gagnon, J. Moore and Daning</w:t>
      </w:r>
    </w:p>
    <w:p w:rsidR="008E1A16" w:rsidRDefault="008E1A16" w:rsidP="008E1A16">
      <w:pPr>
        <w:widowControl w:val="0"/>
        <w:jc w:val="left"/>
      </w:pPr>
      <w:r>
        <w:t>Document Path: l:\council\bills\sm\20142sa21.docx</w:t>
      </w:r>
    </w:p>
    <w:p w:rsidR="008E1A16" w:rsidRDefault="008E1A16" w:rsidP="008E1A16">
      <w:pPr>
        <w:widowControl w:val="0"/>
        <w:jc w:val="left"/>
      </w:pPr>
    </w:p>
    <w:p w:rsidR="00D0288F" w:rsidRDefault="00D0288F" w:rsidP="008E1A16">
      <w:pPr>
        <w:widowControl w:val="0"/>
        <w:jc w:val="left"/>
      </w:pPr>
      <w:r>
        <w:t>Introduced in the House on January 12, 2021</w:t>
      </w:r>
    </w:p>
    <w:p w:rsidR="00D0288F" w:rsidRPr="00D0288F" w:rsidRDefault="00D0288F" w:rsidP="008E1A16">
      <w:pPr>
        <w:widowControl w:val="0"/>
        <w:jc w:val="left"/>
      </w:pPr>
      <w:r>
        <w:t xml:space="preserve">Currently residing in the House Committee on </w:t>
      </w:r>
      <w:r w:rsidRPr="00D0288F">
        <w:rPr>
          <w:b/>
        </w:rPr>
        <w:t>Judiciary</w:t>
      </w:r>
    </w:p>
    <w:p w:rsidR="00D0288F" w:rsidRDefault="00D0288F" w:rsidP="008E1A16">
      <w:pPr>
        <w:widowControl w:val="0"/>
        <w:jc w:val="left"/>
      </w:pPr>
    </w:p>
    <w:p w:rsidR="008E1A16" w:rsidRDefault="003D1222" w:rsidP="008E1A16">
      <w:pPr>
        <w:widowControl w:val="0"/>
        <w:jc w:val="left"/>
      </w:pPr>
      <w:r>
        <w:t>Summary: SC Government Efficiency Act</w:t>
      </w:r>
    </w:p>
    <w:p w:rsidR="008E1A16" w:rsidRDefault="008E1A16" w:rsidP="008E1A16">
      <w:pPr>
        <w:widowControl w:val="0"/>
        <w:jc w:val="left"/>
      </w:pPr>
    </w:p>
    <w:p w:rsidR="008E1A16" w:rsidRDefault="008E1A16" w:rsidP="008E1A16">
      <w:pPr>
        <w:widowControl w:val="0"/>
        <w:jc w:val="left"/>
      </w:pPr>
    </w:p>
    <w:p w:rsidR="008E1A16" w:rsidRDefault="008E1A16" w:rsidP="008E1A16">
      <w:pPr>
        <w:widowControl w:val="0"/>
        <w:tabs>
          <w:tab w:val="center" w:pos="590"/>
          <w:tab w:val="center" w:pos="1440"/>
          <w:tab w:val="left" w:pos="1872"/>
          <w:tab w:val="left" w:pos="9187"/>
        </w:tabs>
        <w:jc w:val="left"/>
      </w:pPr>
      <w:r w:rsidRPr="008E1A16">
        <w:rPr>
          <w:b/>
        </w:rPr>
        <w:t>HISTORY OF LEGISLATIVE ACTIONS</w:t>
      </w:r>
    </w:p>
    <w:p w:rsidR="008E1A16" w:rsidRDefault="008E1A16" w:rsidP="008E1A16">
      <w:pPr>
        <w:widowControl w:val="0"/>
        <w:tabs>
          <w:tab w:val="center" w:pos="590"/>
          <w:tab w:val="center" w:pos="1440"/>
          <w:tab w:val="left" w:pos="1872"/>
          <w:tab w:val="left" w:pos="9187"/>
        </w:tabs>
        <w:jc w:val="left"/>
      </w:pPr>
    </w:p>
    <w:p w:rsidR="008E1A16" w:rsidRPr="008E1A16" w:rsidRDefault="008E1A16" w:rsidP="008E1A16">
      <w:pPr>
        <w:widowControl w:val="0"/>
        <w:tabs>
          <w:tab w:val="center" w:pos="590"/>
          <w:tab w:val="center" w:pos="1440"/>
          <w:tab w:val="left" w:pos="1872"/>
          <w:tab w:val="left" w:pos="9187"/>
        </w:tabs>
        <w:jc w:val="left"/>
      </w:pPr>
      <w:r w:rsidRPr="008E1A16">
        <w:rPr>
          <w:u w:val="single"/>
        </w:rPr>
        <w:tab/>
        <w:t>Date</w:t>
      </w:r>
      <w:r w:rsidRPr="008E1A16">
        <w:rPr>
          <w:u w:val="single"/>
        </w:rPr>
        <w:tab/>
        <w:t>Body</w:t>
      </w:r>
      <w:r w:rsidRPr="008E1A16">
        <w:rPr>
          <w:u w:val="single"/>
        </w:rPr>
        <w:tab/>
        <w:t>Action Description with journal page number</w:t>
      </w:r>
      <w:r w:rsidRPr="008E1A16">
        <w:rPr>
          <w:u w:val="single"/>
        </w:rPr>
        <w:tab/>
      </w:r>
    </w:p>
    <w:p w:rsidR="00047273" w:rsidRDefault="00047273" w:rsidP="00047273">
      <w:pPr>
        <w:widowControl w:val="0"/>
        <w:tabs>
          <w:tab w:val="right" w:pos="1008"/>
          <w:tab w:val="left" w:pos="1152"/>
          <w:tab w:val="left" w:pos="1872"/>
          <w:tab w:val="left" w:pos="9187"/>
        </w:tabs>
        <w:ind w:left="2088" w:hanging="2088"/>
      </w:pPr>
      <w:r>
        <w:tab/>
        <w:t>12/9/2020</w:t>
      </w:r>
      <w:r>
        <w:tab/>
        <w:t>House</w:t>
      </w:r>
      <w:r>
        <w:tab/>
        <w:t>Prefiled</w:t>
      </w:r>
    </w:p>
    <w:p w:rsidR="00047273" w:rsidRDefault="00047273" w:rsidP="0004727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F3291">
        <w:rPr>
          <w:b/>
        </w:rPr>
        <w:t>Judiciary</w:t>
      </w:r>
    </w:p>
    <w:p w:rsidR="00047273" w:rsidRDefault="00047273" w:rsidP="0004727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F3291">
          <w:rPr>
            <w:rStyle w:val="Hyperlink"/>
          </w:rPr>
          <w:t>House Journal</w:t>
        </w:r>
        <w:r w:rsidRPr="009F3291">
          <w:rPr>
            <w:rStyle w:val="Hyperlink"/>
          </w:rPr>
          <w:noBreakHyphen/>
          <w:t>page 78</w:t>
        </w:r>
      </w:hyperlink>
      <w:r>
        <w:t>)</w:t>
      </w:r>
    </w:p>
    <w:p w:rsidR="00047273" w:rsidRDefault="00047273" w:rsidP="0004727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F3291">
        <w:rPr>
          <w:b/>
        </w:rPr>
        <w:t>Judiciary</w:t>
      </w:r>
      <w:r>
        <w:t xml:space="preserve"> (</w:t>
      </w:r>
      <w:hyperlink r:id="rId8" w:history="1">
        <w:r w:rsidRPr="009F3291">
          <w:rPr>
            <w:rStyle w:val="Hyperlink"/>
          </w:rPr>
          <w:t>House Journal</w:t>
        </w:r>
        <w:r w:rsidRPr="009F3291">
          <w:rPr>
            <w:rStyle w:val="Hyperlink"/>
          </w:rPr>
          <w:noBreakHyphen/>
          <w:t>page 78</w:t>
        </w:r>
      </w:hyperlink>
      <w:r>
        <w:t>)</w:t>
      </w:r>
    </w:p>
    <w:p w:rsidR="00047273" w:rsidRDefault="00047273" w:rsidP="00047273">
      <w:pPr>
        <w:widowControl w:val="0"/>
        <w:tabs>
          <w:tab w:val="right" w:pos="1008"/>
          <w:tab w:val="left" w:pos="1152"/>
          <w:tab w:val="left" w:pos="1872"/>
          <w:tab w:val="left" w:pos="9187"/>
        </w:tabs>
        <w:ind w:left="2088" w:hanging="2088"/>
      </w:pPr>
      <w:r>
        <w:tab/>
        <w:t>1/26/2021</w:t>
      </w:r>
      <w:r>
        <w:tab/>
        <w:t>House</w:t>
      </w:r>
      <w:r>
        <w:tab/>
        <w:t>Member(s) request name added as sponsor: M.M.Smith</w:t>
      </w:r>
    </w:p>
    <w:p w:rsidR="00047273" w:rsidRDefault="00047273" w:rsidP="00047273">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047273" w:rsidRDefault="00047273" w:rsidP="00047273">
      <w:pPr>
        <w:widowControl w:val="0"/>
        <w:tabs>
          <w:tab w:val="right" w:pos="1008"/>
          <w:tab w:val="left" w:pos="1152"/>
          <w:tab w:val="left" w:pos="1872"/>
          <w:tab w:val="left" w:pos="9187"/>
        </w:tabs>
        <w:ind w:left="2088" w:hanging="2088"/>
      </w:pPr>
      <w:r>
        <w:tab/>
        <w:t>3/14/2022</w:t>
      </w:r>
      <w:r>
        <w:tab/>
        <w:t>House</w:t>
      </w:r>
      <w:r>
        <w:tab/>
        <w:t>Member(s) request name added as sponsor: McCravy, W.Cox, White, West, Gagnon, J.Moore, Daning</w:t>
      </w:r>
    </w:p>
    <w:p w:rsidR="00047273" w:rsidRDefault="00047273" w:rsidP="00047273">
      <w:pPr>
        <w:widowControl w:val="0"/>
        <w:tabs>
          <w:tab w:val="right" w:pos="1008"/>
          <w:tab w:val="left" w:pos="1152"/>
          <w:tab w:val="left" w:pos="1872"/>
          <w:tab w:val="left" w:pos="9187"/>
        </w:tabs>
        <w:ind w:left="2088" w:hanging="2088"/>
      </w:pPr>
    </w:p>
    <w:p w:rsidR="008E1A16" w:rsidRDefault="008E1A16" w:rsidP="008E1A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1A16">
          <w:rPr>
            <w:rStyle w:val="Hyperlink"/>
          </w:rPr>
          <w:t>legislative information</w:t>
        </w:r>
      </w:hyperlink>
      <w:r>
        <w:t xml:space="preserve"> at the website</w:t>
      </w:r>
    </w:p>
    <w:p w:rsidR="008E1A16" w:rsidRDefault="008E1A16" w:rsidP="008E1A16">
      <w:pPr>
        <w:widowControl w:val="0"/>
        <w:tabs>
          <w:tab w:val="right" w:pos="1008"/>
          <w:tab w:val="left" w:pos="1152"/>
          <w:tab w:val="left" w:pos="1872"/>
          <w:tab w:val="left" w:pos="9187"/>
        </w:tabs>
        <w:ind w:left="2088" w:hanging="2088"/>
        <w:jc w:val="left"/>
      </w:pPr>
    </w:p>
    <w:p w:rsidR="008E1A16" w:rsidRPr="008E1A16" w:rsidRDefault="008E1A16" w:rsidP="008E1A16">
      <w:pPr>
        <w:widowControl w:val="0"/>
        <w:tabs>
          <w:tab w:val="right" w:pos="1008"/>
          <w:tab w:val="left" w:pos="1152"/>
          <w:tab w:val="left" w:pos="1872"/>
          <w:tab w:val="left" w:pos="9187"/>
        </w:tabs>
        <w:ind w:left="2088" w:hanging="2088"/>
        <w:jc w:val="left"/>
      </w:pPr>
    </w:p>
    <w:p w:rsidR="008E1A16" w:rsidRDefault="008E1A16" w:rsidP="008E1A16">
      <w:pPr>
        <w:widowControl w:val="0"/>
        <w:jc w:val="left"/>
      </w:pPr>
      <w:r w:rsidRPr="008E1A16">
        <w:rPr>
          <w:b/>
        </w:rPr>
        <w:t>VERSIONS OF THIS BILL</w:t>
      </w:r>
    </w:p>
    <w:p w:rsidR="008E1A16" w:rsidRDefault="008E1A16" w:rsidP="008E1A16">
      <w:pPr>
        <w:widowControl w:val="0"/>
        <w:jc w:val="left"/>
      </w:pPr>
    </w:p>
    <w:p w:rsidR="008E1A16" w:rsidRDefault="00544737" w:rsidP="008E1A16">
      <w:pPr>
        <w:widowControl w:val="0"/>
        <w:jc w:val="left"/>
      </w:pPr>
      <w:hyperlink r:id="rId10" w:history="1">
        <w:r w:rsidR="008E1A16">
          <w:rPr>
            <w:rStyle w:val="Hyperlink"/>
          </w:rPr>
          <w:t>12/9/2020</w:t>
        </w:r>
      </w:hyperlink>
    </w:p>
    <w:p w:rsidR="008E1A16" w:rsidRDefault="008E1A16" w:rsidP="008E1A16"/>
    <w:p w:rsidR="008E1A16" w:rsidRDefault="008E1A16" w:rsidP="008E1A16">
      <w:pPr>
        <w:sectPr w:rsidR="008E1A16" w:rsidSect="008E1A16">
          <w:pgSz w:w="12240" w:h="15840" w:code="1"/>
          <w:pgMar w:top="1080" w:right="1440" w:bottom="1080" w:left="1440" w:header="720" w:footer="720" w:gutter="0"/>
          <w:cols w:space="720"/>
          <w:noEndnote/>
          <w:docGrid w:linePitch="360"/>
        </w:sectPr>
      </w:pPr>
    </w:p>
    <w:p w:rsidR="00A3333E" w:rsidRDefault="00A3333E"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04BF">
        <w:rPr>
          <w:color w:val="000000" w:themeColor="text1"/>
          <w:u w:color="000000" w:themeColor="text1"/>
        </w:rPr>
        <w:t xml:space="preserve">TO AMEND THE CODE OF LAWS OF SOUTH CAROLINA, 1976, </w:t>
      </w:r>
      <w:r>
        <w:rPr>
          <w:color w:val="000000" w:themeColor="text1"/>
          <w:u w:color="000000" w:themeColor="text1"/>
        </w:rPr>
        <w:t xml:space="preserve">TO ENACT THE “SOUTH CAROLINA GOVERNMENT EFFICIENCY ACT” </w:t>
      </w:r>
      <w:r w:rsidRPr="00D104BF">
        <w:rPr>
          <w:color w:val="000000" w:themeColor="text1"/>
          <w:u w:color="000000" w:themeColor="text1"/>
        </w:rPr>
        <w:t>BY ADDING SECTION 1</w:t>
      </w:r>
      <w:r w:rsidR="00822651">
        <w:rPr>
          <w:color w:val="000000" w:themeColor="text1"/>
          <w:u w:color="000000" w:themeColor="text1"/>
        </w:rPr>
        <w:noBreakHyphen/>
      </w:r>
      <w:r w:rsidRPr="00D104BF">
        <w:rPr>
          <w:color w:val="000000" w:themeColor="text1"/>
          <w:u w:color="000000" w:themeColor="text1"/>
        </w:rPr>
        <w:t>1</w:t>
      </w:r>
      <w:r w:rsidR="00822651">
        <w:rPr>
          <w:color w:val="000000" w:themeColor="text1"/>
          <w:u w:color="000000" w:themeColor="text1"/>
        </w:rPr>
        <w:noBreakHyphen/>
      </w:r>
      <w:r w:rsidRPr="00D104BF">
        <w:rPr>
          <w:color w:val="000000" w:themeColor="text1"/>
          <w:u w:color="000000" w:themeColor="text1"/>
        </w:rPr>
        <w:t>1050 SO AS TO CREATE THE SOUTH CAROLINA GOVERNMENT EFFICIENCY TASK FORCE TO DEVELOP RECOMMENDATIONS FOR IMPROVING GOVERNMENTAL OPERATIONS AND REDUCING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3A5" w:rsidRDefault="00486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3A5" w:rsidRDefault="00486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09" w:rsidRPr="00D104BF" w:rsidRDefault="004863A5"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3009" w:rsidRPr="00D104BF">
        <w:rPr>
          <w:color w:val="000000" w:themeColor="text1"/>
          <w:u w:color="000000" w:themeColor="text1"/>
        </w:rPr>
        <w:t xml:space="preserve">This act may be cited as the </w:t>
      </w:r>
      <w:r w:rsidR="003316EB">
        <w:rPr>
          <w:color w:val="000000" w:themeColor="text1"/>
          <w:u w:color="000000" w:themeColor="text1"/>
        </w:rPr>
        <w:t>“</w:t>
      </w:r>
      <w:r w:rsidR="00A23009" w:rsidRPr="00D104BF">
        <w:rPr>
          <w:color w:val="000000" w:themeColor="text1"/>
          <w:u w:color="000000" w:themeColor="text1"/>
        </w:rPr>
        <w:t>South Carolina Government Efficiency Act.</w:t>
      </w:r>
      <w:r w:rsidR="003316EB">
        <w:rPr>
          <w:color w:val="000000" w:themeColor="text1"/>
          <w:u w:color="000000" w:themeColor="text1"/>
        </w:rPr>
        <w:t>”</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2.</w:t>
      </w:r>
      <w:r w:rsidRPr="00D104BF">
        <w:rPr>
          <w:color w:val="000000" w:themeColor="text1"/>
          <w:u w:color="000000" w:themeColor="text1"/>
        </w:rPr>
        <w:tab/>
        <w:t>Article 15, Chapter 1, Title 1 of the 1976 Code is amended by adding:</w:t>
      </w:r>
    </w:p>
    <w:p w:rsidR="004863A5" w:rsidRDefault="00486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“Section 1</w:t>
      </w:r>
      <w:r w:rsidR="00822651">
        <w:rPr>
          <w:color w:val="000000" w:themeColor="text1"/>
          <w:u w:color="000000" w:themeColor="text1"/>
        </w:rPr>
        <w:noBreakHyphen/>
      </w:r>
      <w:r w:rsidRPr="00D104BF">
        <w:rPr>
          <w:color w:val="000000" w:themeColor="text1"/>
          <w:u w:color="000000" w:themeColor="text1"/>
        </w:rPr>
        <w:t>1</w:t>
      </w:r>
      <w:r w:rsidR="00822651">
        <w:rPr>
          <w:color w:val="000000" w:themeColor="text1"/>
          <w:u w:color="000000" w:themeColor="text1"/>
        </w:rPr>
        <w:noBreakHyphen/>
      </w:r>
      <w:r w:rsidRPr="00D104BF">
        <w:rPr>
          <w:color w:val="000000" w:themeColor="text1"/>
          <w:u w:color="000000" w:themeColor="text1"/>
        </w:rPr>
        <w:t>1050</w:t>
      </w:r>
      <w:r>
        <w:rPr>
          <w:color w:val="000000" w:themeColor="text1"/>
          <w:u w:color="000000" w:themeColor="text1"/>
        </w:rPr>
        <w:t>.</w:t>
      </w:r>
      <w:r w:rsidRPr="00D104BF">
        <w:rPr>
          <w:color w:val="000000" w:themeColor="text1"/>
          <w:u w:color="000000" w:themeColor="text1"/>
        </w:rPr>
        <w:tab/>
        <w:t>(A)</w:t>
      </w:r>
      <w:r>
        <w:rPr>
          <w:color w:val="000000" w:themeColor="text1"/>
          <w:u w:color="000000" w:themeColor="text1"/>
        </w:rPr>
        <w:t>(1)</w:t>
      </w:r>
      <w:r>
        <w:rPr>
          <w:color w:val="000000" w:themeColor="text1"/>
          <w:u w:color="000000" w:themeColor="text1"/>
        </w:rPr>
        <w:tab/>
      </w:r>
      <w:r w:rsidRPr="0028427A">
        <w:rPr>
          <w:color w:val="000000" w:themeColor="text1"/>
          <w:u w:color="000000" w:themeColor="text1"/>
        </w:rPr>
        <w:t xml:space="preserve">There is created the </w:t>
      </w:r>
      <w:r w:rsidR="009A5E03">
        <w:rPr>
          <w:color w:val="000000" w:themeColor="text1"/>
          <w:u w:color="000000" w:themeColor="text1"/>
        </w:rPr>
        <w:t>‘</w:t>
      </w:r>
      <w:r w:rsidRPr="0028427A">
        <w:rPr>
          <w:color w:val="000000" w:themeColor="text1"/>
          <w:u w:color="000000" w:themeColor="text1"/>
        </w:rPr>
        <w:t>South Carolina Government Efficiency Task Force</w:t>
      </w:r>
      <w:r w:rsidR="009A5E03">
        <w:rPr>
          <w:color w:val="000000" w:themeColor="text1"/>
          <w:u w:color="000000" w:themeColor="text1"/>
        </w:rPr>
        <w:t>’</w:t>
      </w:r>
      <w:r w:rsidRPr="0028427A">
        <w:rPr>
          <w:color w:val="000000" w:themeColor="text1"/>
          <w:u w:color="000000" w:themeColor="text1"/>
        </w:rPr>
        <w:t xml:space="preserve"> to develop recommendations for improving and streamlining governmental operations, to include downsizing as appropriate, reduction and streamlining of regulations, and cost reduction measures. The task force shall convene no later than June 2021, and every four years after.</w:t>
      </w:r>
      <w:r>
        <w:rPr>
          <w:color w:val="000000" w:themeColor="text1"/>
          <w:u w:color="000000" w:themeColor="text1"/>
        </w:rPr>
        <w:t xml:space="preserve"> </w:t>
      </w:r>
      <w:r w:rsidRPr="00D104BF">
        <w:rPr>
          <w:color w:val="000000" w:themeColor="text1"/>
          <w:u w:color="000000" w:themeColor="text1"/>
        </w:rPr>
        <w:t>The task force shall complete its work within one year and submit its recommendations to the President Pro Tempore of the Senate, the Speaker of the House of Representatives, and the Governor. The task force may submit all or part of its recommendations at any time during the year, but a final report summarizing its recommendations must be submitted</w:t>
      </w:r>
      <w:r>
        <w:rPr>
          <w:color w:val="000000" w:themeColor="text1"/>
          <w:u w:color="000000" w:themeColor="text1"/>
        </w:rPr>
        <w:t xml:space="preserve"> at the completion of its work.</w:t>
      </w: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04BF">
        <w:rPr>
          <w:color w:val="000000" w:themeColor="text1"/>
          <w:u w:color="000000" w:themeColor="text1"/>
        </w:rPr>
        <w:t xml:space="preserve">The task force is composed of fifteen members. Five members are appointed by the President Pro Tempore of the Senate, </w:t>
      </w:r>
      <w:r w:rsidRPr="00D104BF">
        <w:rPr>
          <w:color w:val="000000" w:themeColor="text1"/>
          <w:u w:color="000000" w:themeColor="text1"/>
        </w:rPr>
        <w:lastRenderedPageBreak/>
        <w:t xml:space="preserve">five members are appointed by the Speaker of the House of Representatives, and five members are appointed by the Governor. </w:t>
      </w: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27A">
        <w:rPr>
          <w:color w:val="000000" w:themeColor="text1"/>
          <w:u w:color="000000" w:themeColor="text1"/>
        </w:rPr>
        <w:t>The task force must be composed of members of the General Assembly and also representatives from both the private and public sectors, all as designated by the President Pro Tempore of the Senate, the Speaker of the House of Representatives, and the Governor.</w:t>
      </w:r>
      <w:r w:rsidRPr="00D104BF">
        <w:rPr>
          <w:color w:val="000000" w:themeColor="text1"/>
          <w:u w:color="000000" w:themeColor="text1"/>
        </w:rPr>
        <w:t xml:space="preserve"> Each member shall serve at the pleasure of the officer who appointed the member. A vacancy on the task force must be filled in the same manner as the original appointment</w:t>
      </w:r>
      <w:r>
        <w:rPr>
          <w:color w:val="000000" w:themeColor="text1"/>
          <w:u w:color="000000" w:themeColor="text1"/>
        </w:rPr>
        <w:t>.</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04BF">
        <w:rPr>
          <w:color w:val="000000" w:themeColor="text1"/>
          <w:u w:color="000000" w:themeColor="text1"/>
        </w:rPr>
        <w:t>(B)</w:t>
      </w:r>
      <w:r w:rsidRPr="00D104BF">
        <w:rPr>
          <w:color w:val="000000" w:themeColor="text1"/>
          <w:u w:color="000000" w:themeColor="text1"/>
        </w:rPr>
        <w:tab/>
        <w:t>The task force shall elect a chair from among its members.</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(C)</w:t>
      </w:r>
      <w:r w:rsidRPr="00D104BF">
        <w:rPr>
          <w:color w:val="000000" w:themeColor="text1"/>
          <w:u w:color="000000" w:themeColor="text1"/>
        </w:rPr>
        <w:tab/>
        <w:t>The task force shall meet as necessary, but at least quarterly, at the call of the chair and at the time and place designated by him. The task force may conduct its meetings through teleconferenc</w:t>
      </w:r>
      <w:r>
        <w:rPr>
          <w:color w:val="000000" w:themeColor="text1"/>
          <w:u w:color="000000" w:themeColor="text1"/>
        </w:rPr>
        <w:t xml:space="preserve">ing </w:t>
      </w:r>
      <w:r w:rsidRPr="00D104BF">
        <w:rPr>
          <w:color w:val="000000" w:themeColor="text1"/>
          <w:u w:color="000000" w:themeColor="text1"/>
        </w:rPr>
        <w:t>or other similar means.</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(D)</w:t>
      </w:r>
      <w:r w:rsidRPr="00D104BF">
        <w:rPr>
          <w:color w:val="000000" w:themeColor="text1"/>
          <w:u w:color="000000" w:themeColor="text1"/>
        </w:rPr>
        <w:tab/>
        <w:t>Members of the task force are entitled to receive reimbursement for per diem, mileage, and subsistence as provided by law for members of boards, commissions, and committees while engaged in the work of the task force.</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(E)</w:t>
      </w:r>
      <w:r w:rsidRPr="00D104BF">
        <w:rPr>
          <w:color w:val="000000" w:themeColor="text1"/>
          <w:u w:color="000000" w:themeColor="text1"/>
        </w:rPr>
        <w:tab/>
        <w:t>Staff to assist the task force in performing its duties must be assigned by the President Pro Tempore of the Senate, the Speaker of the House of Representatives, and the Governor. The task force shall consider reports issued by the Legislative Audit Council, the Legislative Oversight Committee, and internal and external audit reports in developing its recommendations.</w:t>
      </w:r>
      <w:r>
        <w:rPr>
          <w:color w:val="000000" w:themeColor="text1"/>
          <w:u w:color="000000" w:themeColor="text1"/>
        </w:rPr>
        <w:t>”</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568F" w:rsidRDefault="008226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23009">
        <w:t>XX</w:t>
      </w:r>
      <w:r>
        <w:noBreakHyphen/>
      </w:r>
      <w:r>
        <w:noBreakHyphen/>
      </w:r>
      <w:r>
        <w:noBreakHyphen/>
      </w:r>
      <w:r>
        <w:noBreakHyphen/>
      </w:r>
    </w:p>
    <w:p w:rsidR="008E1A16" w:rsidRDefault="008E1A16" w:rsidP="008E1A16">
      <w:pPr>
        <w:suppressAutoHyphens/>
      </w:pPr>
    </w:p>
    <w:sectPr w:rsidR="008E1A16" w:rsidSect="008E1A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3A5" w:rsidRDefault="004863A5" w:rsidP="009F0C77">
      <w:r>
        <w:separator/>
      </w:r>
    </w:p>
  </w:endnote>
  <w:endnote w:type="continuationSeparator" w:id="0">
    <w:p w:rsidR="004863A5" w:rsidRDefault="00486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4D2586-BD02-4439-9C4E-6EDEC520B663}"/>
    <w:embedBold r:id="rId2" w:fontKey="{28F26584-8002-4086-81F3-5749FC92BDD5}"/>
  </w:font>
  <w:font w:name="Calibri">
    <w:panose1 w:val="020F0502020204030204"/>
    <w:charset w:val="00"/>
    <w:family w:val="swiss"/>
    <w:pitch w:val="variable"/>
    <w:sig w:usb0="E4002EFF" w:usb1="C000247B" w:usb2="00000009" w:usb3="00000000" w:csb0="000001FF" w:csb1="00000000"/>
    <w:embedRegular r:id="rId3" w:fontKey="{E2B44E38-8770-445B-BAED-6B1DB81BAD13}"/>
  </w:font>
  <w:font w:name="Segoe UI">
    <w:panose1 w:val="020B0502040204020203"/>
    <w:charset w:val="00"/>
    <w:family w:val="swiss"/>
    <w:pitch w:val="variable"/>
    <w:sig w:usb0="E4002EFF" w:usb1="C000E47F" w:usb2="00000009" w:usb3="00000000" w:csb0="000001FF" w:csb1="00000000"/>
    <w:embedRegular r:id="rId4" w:fontKey="{E7B986C2-24E2-443C-92ED-B753D168EF9B}"/>
  </w:font>
  <w:font w:name="Cambria">
    <w:panose1 w:val="02040503050406030204"/>
    <w:charset w:val="00"/>
    <w:family w:val="roman"/>
    <w:pitch w:val="variable"/>
    <w:sig w:usb0="E00006FF" w:usb1="420024FF" w:usb2="02000000" w:usb3="00000000" w:csb0="0000019F" w:csb1="00000000"/>
    <w:embedRegular r:id="rId5" w:fontKey="{6D5BA897-58F5-44CA-90BA-1C5E7950F9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16" w:rsidRPr="00A3333E" w:rsidRDefault="008E1A16" w:rsidP="00A3333E">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sidR="000472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3A5" w:rsidRDefault="004863A5" w:rsidP="009F0C77">
      <w:r>
        <w:separator/>
      </w:r>
    </w:p>
  </w:footnote>
  <w:footnote w:type="continuationSeparator" w:id="0">
    <w:p w:rsidR="004863A5" w:rsidRDefault="00486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2SA21"/>
    <w:docVar w:name="CoverBillType" w:val="b"/>
    <w:docVar w:name="DocPath" w:val="L:\Council\bills\SM\20142SA21.DOCX"/>
    <w:docVar w:name="dvBillNumber" w:val="3115"/>
    <w:docVar w:name="dvBillNumberPrefix" w:val="H. "/>
    <w:docVar w:name="dvOriginalBody" w:val="House"/>
    <w:docVar w:name="dvSteno" w:val="SM"/>
    <w:docVar w:name="NameofBody" w:val="h"/>
    <w:docVar w:name="vGroup2" w:val="Council"/>
  </w:docVars>
  <w:rsids>
    <w:rsidRoot w:val="004863A5"/>
    <w:rsid w:val="00011869"/>
    <w:rsid w:val="00015CD6"/>
    <w:rsid w:val="00047273"/>
    <w:rsid w:val="0008568F"/>
    <w:rsid w:val="000E0100"/>
    <w:rsid w:val="000E1785"/>
    <w:rsid w:val="000F2B63"/>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612"/>
    <w:rsid w:val="002A69B6"/>
    <w:rsid w:val="002E5912"/>
    <w:rsid w:val="00301B21"/>
    <w:rsid w:val="00325348"/>
    <w:rsid w:val="0032732C"/>
    <w:rsid w:val="003316EB"/>
    <w:rsid w:val="00336AD0"/>
    <w:rsid w:val="0037079A"/>
    <w:rsid w:val="003C4DAB"/>
    <w:rsid w:val="003D01E8"/>
    <w:rsid w:val="003D1222"/>
    <w:rsid w:val="003E5288"/>
    <w:rsid w:val="003F6D79"/>
    <w:rsid w:val="0041760A"/>
    <w:rsid w:val="00417C01"/>
    <w:rsid w:val="004403BD"/>
    <w:rsid w:val="00461441"/>
    <w:rsid w:val="004809EE"/>
    <w:rsid w:val="004863A5"/>
    <w:rsid w:val="004C3B18"/>
    <w:rsid w:val="004E2A9B"/>
    <w:rsid w:val="004E7D54"/>
    <w:rsid w:val="005273C6"/>
    <w:rsid w:val="00530A69"/>
    <w:rsid w:val="00545593"/>
    <w:rsid w:val="00556EBF"/>
    <w:rsid w:val="00577C6C"/>
    <w:rsid w:val="005A62FE"/>
    <w:rsid w:val="005C2FE2"/>
    <w:rsid w:val="005E2BC9"/>
    <w:rsid w:val="00605102"/>
    <w:rsid w:val="006215AA"/>
    <w:rsid w:val="00654AEB"/>
    <w:rsid w:val="006913C9"/>
    <w:rsid w:val="0069470D"/>
    <w:rsid w:val="006D58AA"/>
    <w:rsid w:val="00734F00"/>
    <w:rsid w:val="00736959"/>
    <w:rsid w:val="007A70AE"/>
    <w:rsid w:val="00822651"/>
    <w:rsid w:val="008362E8"/>
    <w:rsid w:val="00852BFE"/>
    <w:rsid w:val="0085786E"/>
    <w:rsid w:val="008A1768"/>
    <w:rsid w:val="008A489F"/>
    <w:rsid w:val="008E1A16"/>
    <w:rsid w:val="008F0F33"/>
    <w:rsid w:val="008F4429"/>
    <w:rsid w:val="009369B4"/>
    <w:rsid w:val="0094021A"/>
    <w:rsid w:val="009A5E03"/>
    <w:rsid w:val="009B44AF"/>
    <w:rsid w:val="009C6A0B"/>
    <w:rsid w:val="009F0C77"/>
    <w:rsid w:val="009F4DD1"/>
    <w:rsid w:val="00A02543"/>
    <w:rsid w:val="00A23009"/>
    <w:rsid w:val="00A3333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E17"/>
    <w:rsid w:val="00CC6B7B"/>
    <w:rsid w:val="00CD2089"/>
    <w:rsid w:val="00D0288F"/>
    <w:rsid w:val="00D73A67"/>
    <w:rsid w:val="00D970A9"/>
    <w:rsid w:val="00DA4E90"/>
    <w:rsid w:val="00DF3845"/>
    <w:rsid w:val="00E41911"/>
    <w:rsid w:val="00E44B57"/>
    <w:rsid w:val="00E92EEF"/>
    <w:rsid w:val="00EF2368"/>
    <w:rsid w:val="00F24442"/>
    <w:rsid w:val="00F50AE3"/>
    <w:rsid w:val="00F5264F"/>
    <w:rsid w:val="00F60E1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ED8FF-BF13-45E3-BE24-4F757E20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651"/>
    <w:rPr>
      <w:rFonts w:ascii="Segoe UI" w:eastAsia="Times New Roman" w:hAnsi="Segoe UI" w:cs="Segoe UI"/>
      <w:sz w:val="18"/>
      <w:szCs w:val="18"/>
    </w:rPr>
  </w:style>
  <w:style w:type="character" w:styleId="Hyperlink">
    <w:name w:val="Hyperlink"/>
    <w:basedOn w:val="DefaultParagraphFont"/>
    <w:uiPriority w:val="99"/>
    <w:unhideWhenUsed/>
    <w:rsid w:val="008E1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00D53-AF53-4914-AF14-BD262C89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3115: Subject not yet available - South Carolina Legislature Online</dc:title>
  <dc:creator>Stacey Morris</dc:creator>
  <cp:lastModifiedBy>S Wilson</cp:lastModifiedBy>
  <cp:revision>2</cp:revision>
  <cp:lastPrinted>2020-12-07T13:56:00Z</cp:lastPrinted>
  <dcterms:created xsi:type="dcterms:W3CDTF">2022-03-15T00:41:00Z</dcterms:created>
  <dcterms:modified xsi:type="dcterms:W3CDTF">2022-03-15T00:41:00Z</dcterms:modified>
</cp:coreProperties>
</file>