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F1F" w:rsidRDefault="00AE3F1F" w:rsidP="00AE3F1F">
      <w:pPr>
        <w:widowControl w:val="0"/>
        <w:jc w:val="center"/>
      </w:pPr>
      <w:r w:rsidRPr="00AE3F1F">
        <w:rPr>
          <w:b/>
        </w:rPr>
        <w:t>South Carolina General Assembly</w:t>
      </w:r>
    </w:p>
    <w:p w:rsidR="00AE3F1F" w:rsidRDefault="00AE3F1F" w:rsidP="00AE3F1F">
      <w:pPr>
        <w:widowControl w:val="0"/>
        <w:jc w:val="center"/>
      </w:pPr>
      <w:r>
        <w:t>124th Session, 2021-2022</w:t>
      </w:r>
    </w:p>
    <w:p w:rsidR="00AE3F1F" w:rsidRDefault="00AE3F1F" w:rsidP="00AE3F1F">
      <w:pPr>
        <w:widowControl w:val="0"/>
        <w:jc w:val="left"/>
      </w:pPr>
    </w:p>
    <w:p w:rsidR="00AE3F1F" w:rsidRDefault="00AE3F1F" w:rsidP="00AE3F1F">
      <w:pPr>
        <w:widowControl w:val="0"/>
        <w:jc w:val="left"/>
        <w:rPr>
          <w:b/>
        </w:rPr>
      </w:pPr>
      <w:r w:rsidRPr="00AE3F1F">
        <w:rPr>
          <w:b/>
        </w:rPr>
        <w:t>H. 4030</w:t>
      </w:r>
    </w:p>
    <w:p w:rsidR="00AE3F1F" w:rsidRDefault="00AE3F1F" w:rsidP="00AE3F1F">
      <w:pPr>
        <w:widowControl w:val="0"/>
        <w:jc w:val="left"/>
        <w:rPr>
          <w:b/>
        </w:rPr>
      </w:pPr>
    </w:p>
    <w:p w:rsidR="00AE3F1F" w:rsidRDefault="00AE3F1F" w:rsidP="00AE3F1F">
      <w:pPr>
        <w:widowControl w:val="0"/>
        <w:jc w:val="left"/>
      </w:pPr>
      <w:r w:rsidRPr="00AE3F1F">
        <w:rPr>
          <w:b/>
        </w:rPr>
        <w:t>STATUS INFORMATION</w:t>
      </w:r>
    </w:p>
    <w:p w:rsidR="00AE3F1F" w:rsidRDefault="00AE3F1F" w:rsidP="00AE3F1F">
      <w:pPr>
        <w:widowControl w:val="0"/>
        <w:jc w:val="left"/>
      </w:pPr>
    </w:p>
    <w:p w:rsidR="00AE3F1F" w:rsidRDefault="00AE3F1F" w:rsidP="00AE3F1F">
      <w:pPr>
        <w:widowControl w:val="0"/>
        <w:jc w:val="left"/>
      </w:pPr>
      <w:r>
        <w:t>General Bill</w:t>
      </w:r>
    </w:p>
    <w:p w:rsidR="00AE3F1F" w:rsidRDefault="00AE3F1F" w:rsidP="00AE3F1F">
      <w:pPr>
        <w:widowControl w:val="0"/>
        <w:jc w:val="left"/>
      </w:pPr>
      <w:r>
        <w:t>Sponsors: Reps. McKnight, Wooten, Caskey, Kimmons and Trantham</w:t>
      </w:r>
    </w:p>
    <w:p w:rsidR="00AE3F1F" w:rsidRDefault="00AE3F1F" w:rsidP="00AE3F1F">
      <w:pPr>
        <w:widowControl w:val="0"/>
        <w:jc w:val="left"/>
      </w:pPr>
      <w:r>
        <w:t>Document Path: l:\council\bills\rt\17996vr21.docx</w:t>
      </w:r>
    </w:p>
    <w:p w:rsidR="00AE3F1F" w:rsidRDefault="00AE3F1F" w:rsidP="00AE3F1F">
      <w:pPr>
        <w:widowControl w:val="0"/>
        <w:jc w:val="left"/>
      </w:pPr>
    </w:p>
    <w:p w:rsidR="00AE3F1F" w:rsidRDefault="00AE3F1F" w:rsidP="00AE3F1F">
      <w:pPr>
        <w:widowControl w:val="0"/>
        <w:jc w:val="left"/>
      </w:pPr>
      <w:r>
        <w:t>Introduced in the House on March 4, 2021</w:t>
      </w:r>
    </w:p>
    <w:p w:rsidR="00AE3F1F" w:rsidRDefault="00AE3F1F" w:rsidP="00AE3F1F">
      <w:pPr>
        <w:widowControl w:val="0"/>
        <w:jc w:val="left"/>
      </w:pPr>
      <w:r>
        <w:t xml:space="preserve">Currently residing in the House Committee on </w:t>
      </w:r>
      <w:r w:rsidRPr="00AE3F1F">
        <w:rPr>
          <w:b/>
        </w:rPr>
        <w:t>Medical, Military, Public and Municipal Affairs</w:t>
      </w:r>
    </w:p>
    <w:p w:rsidR="00AE3F1F" w:rsidRDefault="00AE3F1F" w:rsidP="00AE3F1F">
      <w:pPr>
        <w:widowControl w:val="0"/>
        <w:jc w:val="left"/>
      </w:pPr>
    </w:p>
    <w:p w:rsidR="00AE3F1F" w:rsidRDefault="00AE3F1F" w:rsidP="00AE3F1F">
      <w:pPr>
        <w:widowControl w:val="0"/>
        <w:jc w:val="left"/>
      </w:pPr>
      <w:r>
        <w:t>Summary: Medical debt</w:t>
      </w:r>
    </w:p>
    <w:p w:rsidR="00AE3F1F" w:rsidRDefault="00AE3F1F" w:rsidP="00AE3F1F">
      <w:pPr>
        <w:widowControl w:val="0"/>
        <w:jc w:val="left"/>
      </w:pPr>
    </w:p>
    <w:p w:rsidR="00AE3F1F" w:rsidRDefault="00AE3F1F" w:rsidP="00AE3F1F">
      <w:pPr>
        <w:widowControl w:val="0"/>
        <w:jc w:val="left"/>
      </w:pPr>
    </w:p>
    <w:p w:rsidR="00AE3F1F" w:rsidRDefault="00AE3F1F" w:rsidP="00AE3F1F">
      <w:pPr>
        <w:widowControl w:val="0"/>
        <w:tabs>
          <w:tab w:val="center" w:pos="590"/>
          <w:tab w:val="center" w:pos="1440"/>
          <w:tab w:val="left" w:pos="1872"/>
          <w:tab w:val="left" w:pos="9187"/>
        </w:tabs>
        <w:jc w:val="left"/>
      </w:pPr>
      <w:r w:rsidRPr="00AE3F1F">
        <w:rPr>
          <w:b/>
        </w:rPr>
        <w:t>HISTORY OF LEGISLATIVE ACTIONS</w:t>
      </w:r>
    </w:p>
    <w:p w:rsidR="00AE3F1F" w:rsidRDefault="00AE3F1F" w:rsidP="00AE3F1F">
      <w:pPr>
        <w:widowControl w:val="0"/>
        <w:tabs>
          <w:tab w:val="center" w:pos="590"/>
          <w:tab w:val="center" w:pos="1440"/>
          <w:tab w:val="left" w:pos="1872"/>
          <w:tab w:val="left" w:pos="9187"/>
        </w:tabs>
        <w:jc w:val="left"/>
      </w:pPr>
    </w:p>
    <w:p w:rsidR="00AE3F1F" w:rsidRPr="00AE3F1F" w:rsidRDefault="00AE3F1F" w:rsidP="00AE3F1F">
      <w:pPr>
        <w:widowControl w:val="0"/>
        <w:tabs>
          <w:tab w:val="center" w:pos="590"/>
          <w:tab w:val="center" w:pos="1440"/>
          <w:tab w:val="left" w:pos="1872"/>
          <w:tab w:val="left" w:pos="9187"/>
        </w:tabs>
        <w:jc w:val="left"/>
      </w:pPr>
      <w:r w:rsidRPr="00AE3F1F">
        <w:rPr>
          <w:u w:val="single"/>
        </w:rPr>
        <w:tab/>
        <w:t>Date</w:t>
      </w:r>
      <w:r w:rsidRPr="00AE3F1F">
        <w:rPr>
          <w:u w:val="single"/>
        </w:rPr>
        <w:tab/>
        <w:t>Body</w:t>
      </w:r>
      <w:r w:rsidRPr="00AE3F1F">
        <w:rPr>
          <w:u w:val="single"/>
        </w:rPr>
        <w:tab/>
        <w:t>Action Description with journal page number</w:t>
      </w:r>
      <w:r w:rsidRPr="00AE3F1F">
        <w:rPr>
          <w:u w:val="single"/>
        </w:rPr>
        <w:tab/>
      </w:r>
    </w:p>
    <w:p w:rsidR="00770B5A" w:rsidRDefault="00770B5A" w:rsidP="00770B5A">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EC0F3B">
          <w:rPr>
            <w:rStyle w:val="Hyperlink"/>
          </w:rPr>
          <w:t>House Journal</w:t>
        </w:r>
        <w:r w:rsidRPr="00EC0F3B">
          <w:rPr>
            <w:rStyle w:val="Hyperlink"/>
          </w:rPr>
          <w:noBreakHyphen/>
          <w:t>page 32</w:t>
        </w:r>
      </w:hyperlink>
      <w:r>
        <w:t>)</w:t>
      </w:r>
    </w:p>
    <w:p w:rsidR="00770B5A" w:rsidRDefault="00770B5A" w:rsidP="00770B5A">
      <w:pPr>
        <w:widowControl w:val="0"/>
        <w:tabs>
          <w:tab w:val="right" w:pos="1008"/>
          <w:tab w:val="left" w:pos="1152"/>
          <w:tab w:val="left" w:pos="1872"/>
          <w:tab w:val="left" w:pos="9187"/>
        </w:tabs>
        <w:ind w:left="2088" w:hanging="2088"/>
      </w:pPr>
      <w:r>
        <w:tab/>
        <w:t>3/4/2021</w:t>
      </w:r>
      <w:r>
        <w:tab/>
        <w:t>House</w:t>
      </w:r>
      <w:r>
        <w:tab/>
        <w:t xml:space="preserve">Referred to Committee on </w:t>
      </w:r>
      <w:r w:rsidRPr="00EC0F3B">
        <w:rPr>
          <w:b/>
        </w:rPr>
        <w:t>Medical, Military, Public and Municipal Affairs</w:t>
      </w:r>
      <w:r>
        <w:t xml:space="preserve"> (</w:t>
      </w:r>
      <w:hyperlink r:id="rId8" w:history="1">
        <w:r w:rsidRPr="00EC0F3B">
          <w:rPr>
            <w:rStyle w:val="Hyperlink"/>
          </w:rPr>
          <w:t>House Journal</w:t>
        </w:r>
        <w:r w:rsidRPr="00EC0F3B">
          <w:rPr>
            <w:rStyle w:val="Hyperlink"/>
          </w:rPr>
          <w:noBreakHyphen/>
          <w:t>page 32</w:t>
        </w:r>
      </w:hyperlink>
      <w:r>
        <w:t>)</w:t>
      </w:r>
    </w:p>
    <w:p w:rsidR="00770B5A" w:rsidRDefault="00770B5A" w:rsidP="00770B5A">
      <w:pPr>
        <w:widowControl w:val="0"/>
        <w:tabs>
          <w:tab w:val="right" w:pos="1008"/>
          <w:tab w:val="left" w:pos="1152"/>
          <w:tab w:val="left" w:pos="1872"/>
          <w:tab w:val="left" w:pos="9187"/>
        </w:tabs>
        <w:ind w:left="2088" w:hanging="2088"/>
      </w:pPr>
    </w:p>
    <w:p w:rsidR="00AE3F1F" w:rsidRDefault="00AE3F1F" w:rsidP="00AE3F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3F1F">
          <w:rPr>
            <w:rStyle w:val="Hyperlink"/>
          </w:rPr>
          <w:t>legislative information</w:t>
        </w:r>
      </w:hyperlink>
      <w:r>
        <w:t xml:space="preserve"> at the website</w:t>
      </w:r>
    </w:p>
    <w:p w:rsidR="00AE3F1F" w:rsidRDefault="00AE3F1F" w:rsidP="00AE3F1F">
      <w:pPr>
        <w:widowControl w:val="0"/>
        <w:tabs>
          <w:tab w:val="right" w:pos="1008"/>
          <w:tab w:val="left" w:pos="1152"/>
          <w:tab w:val="left" w:pos="1872"/>
          <w:tab w:val="left" w:pos="9187"/>
        </w:tabs>
        <w:ind w:left="2088" w:hanging="2088"/>
        <w:jc w:val="left"/>
      </w:pPr>
    </w:p>
    <w:p w:rsidR="00AE3F1F" w:rsidRPr="00AE3F1F" w:rsidRDefault="00AE3F1F" w:rsidP="00AE3F1F">
      <w:pPr>
        <w:widowControl w:val="0"/>
        <w:tabs>
          <w:tab w:val="right" w:pos="1008"/>
          <w:tab w:val="left" w:pos="1152"/>
          <w:tab w:val="left" w:pos="1872"/>
          <w:tab w:val="left" w:pos="9187"/>
        </w:tabs>
        <w:ind w:left="2088" w:hanging="2088"/>
        <w:jc w:val="left"/>
      </w:pPr>
    </w:p>
    <w:p w:rsidR="00AE3F1F" w:rsidRDefault="00AE3F1F" w:rsidP="00AE3F1F">
      <w:pPr>
        <w:widowControl w:val="0"/>
        <w:jc w:val="left"/>
      </w:pPr>
      <w:r w:rsidRPr="00AE3F1F">
        <w:rPr>
          <w:b/>
        </w:rPr>
        <w:t>VERSIONS OF THIS BILL</w:t>
      </w:r>
    </w:p>
    <w:p w:rsidR="00AE3F1F" w:rsidRDefault="00AE3F1F" w:rsidP="00AE3F1F">
      <w:pPr>
        <w:widowControl w:val="0"/>
        <w:jc w:val="left"/>
      </w:pPr>
    </w:p>
    <w:p w:rsidR="00AE3F1F" w:rsidRDefault="00502B30" w:rsidP="00AE3F1F">
      <w:pPr>
        <w:widowControl w:val="0"/>
        <w:jc w:val="left"/>
      </w:pPr>
      <w:hyperlink r:id="rId10" w:history="1">
        <w:r w:rsidR="00AE3F1F">
          <w:rPr>
            <w:rStyle w:val="Hyperlink"/>
          </w:rPr>
          <w:t>3/4/2021</w:t>
        </w:r>
      </w:hyperlink>
    </w:p>
    <w:p w:rsidR="00AE3F1F" w:rsidRDefault="00AE3F1F" w:rsidP="00AE3F1F"/>
    <w:p w:rsidR="00AE3F1F" w:rsidRDefault="00AE3F1F" w:rsidP="00AE3F1F">
      <w:pPr>
        <w:sectPr w:rsidR="00AE3F1F" w:rsidSect="00AE3F1F">
          <w:pgSz w:w="12240" w:h="15840" w:code="1"/>
          <w:pgMar w:top="1080" w:right="1440" w:bottom="1080" w:left="1440" w:header="720" w:footer="720" w:gutter="0"/>
          <w:cols w:space="720"/>
          <w:noEndnote/>
          <w:docGrid w:linePitch="360"/>
        </w:sectPr>
      </w:pPr>
    </w:p>
    <w:p w:rsidR="008D6FA8" w:rsidRDefault="008D6FA8"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B2" w:rsidRDefault="00472AB2" w:rsidP="0047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6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EE" w:rsidRPr="00571C1B"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1C1B">
        <w:rPr>
          <w:color w:val="000000" w:themeColor="text1"/>
          <w:u w:color="000000" w:themeColor="text1"/>
        </w:rPr>
        <w:t>TO AMEND THE CODE OF LAWS OF SOUTH CAROLINA, 1976, BY ADDING SECTION 44</w:t>
      </w:r>
      <w:r>
        <w:rPr>
          <w:color w:val="000000" w:themeColor="text1"/>
          <w:u w:color="000000" w:themeColor="text1"/>
        </w:rPr>
        <w:noBreakHyphen/>
      </w:r>
      <w:r w:rsidRPr="00571C1B">
        <w:rPr>
          <w:color w:val="000000" w:themeColor="text1"/>
          <w:u w:color="000000" w:themeColor="text1"/>
        </w:rPr>
        <w:t>7</w:t>
      </w:r>
      <w:r>
        <w:rPr>
          <w:color w:val="000000" w:themeColor="text1"/>
          <w:u w:color="000000" w:themeColor="text1"/>
        </w:rPr>
        <w:noBreakHyphen/>
      </w:r>
      <w:r w:rsidRPr="00571C1B">
        <w:rPr>
          <w:color w:val="000000" w:themeColor="text1"/>
          <w:u w:color="000000" w:themeColor="text1"/>
        </w:rPr>
        <w:t xml:space="preserve">327 SO AS TO PROHIBIT MEDICAL SERVICE OR CARE ENTITIES FROM REPORTING HEALTH CARE EXPENSE DEBT TO A CREDIT BUREAU OR </w:t>
      </w:r>
      <w:r w:rsidR="00BA780F">
        <w:rPr>
          <w:color w:val="000000" w:themeColor="text1"/>
          <w:u w:color="000000" w:themeColor="text1"/>
        </w:rPr>
        <w:t xml:space="preserve">FROM </w:t>
      </w:r>
      <w:r w:rsidRPr="00571C1B">
        <w:rPr>
          <w:color w:val="000000" w:themeColor="text1"/>
          <w:u w:color="000000" w:themeColor="text1"/>
        </w:rPr>
        <w:t>PURSUING COLLECTION ACTIVITIES, WITH EXCEPTIONS, AND FOR OTHER PURPOSES.</w:t>
      </w:r>
    </w:p>
    <w:p w:rsidR="00771BEE" w:rsidRPr="00571C1B"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EE" w:rsidRPr="007B3CF0" w:rsidRDefault="00C356EF"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EE" w:rsidRPr="007B3CF0">
        <w:rPr>
          <w:color w:val="000000" w:themeColor="text1"/>
          <w:u w:color="000000" w:themeColor="text1"/>
        </w:rPr>
        <w:t>Article 3, Chapter 7, Title 44 of the 1976 Code is amended by adding:</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“Section 44</w:t>
      </w:r>
      <w:r>
        <w:rPr>
          <w:color w:val="000000" w:themeColor="text1"/>
          <w:u w:color="000000" w:themeColor="text1"/>
        </w:rPr>
        <w:noBreakHyphen/>
      </w:r>
      <w:r w:rsidRPr="007B3CF0">
        <w:rPr>
          <w:color w:val="000000" w:themeColor="text1"/>
          <w:u w:color="000000" w:themeColor="text1"/>
        </w:rPr>
        <w:t>7</w:t>
      </w:r>
      <w:r>
        <w:rPr>
          <w:color w:val="000000" w:themeColor="text1"/>
          <w:u w:color="000000" w:themeColor="text1"/>
        </w:rPr>
        <w:noBreakHyphen/>
      </w:r>
      <w:r w:rsidRPr="007B3CF0">
        <w:rPr>
          <w:color w:val="000000" w:themeColor="text1"/>
          <w:u w:color="000000" w:themeColor="text1"/>
        </w:rPr>
        <w:t>327.</w:t>
      </w:r>
      <w:r>
        <w:rPr>
          <w:color w:val="000000" w:themeColor="text1"/>
          <w:u w:color="000000" w:themeColor="text1"/>
        </w:rPr>
        <w:tab/>
      </w:r>
      <w:r w:rsidRPr="007B3CF0">
        <w:rPr>
          <w:color w:val="000000" w:themeColor="text1"/>
          <w:u w:color="000000" w:themeColor="text1"/>
        </w:rPr>
        <w:t>(A)(1)</w:t>
      </w:r>
      <w:r>
        <w:rPr>
          <w:color w:val="000000" w:themeColor="text1"/>
          <w:u w:color="000000" w:themeColor="text1"/>
        </w:rPr>
        <w:tab/>
      </w:r>
      <w:r w:rsidRPr="007B3CF0">
        <w:rPr>
          <w:color w:val="000000" w:themeColor="text1"/>
          <w:u w:color="000000" w:themeColor="text1"/>
        </w:rPr>
        <w:t>A medical service or care entity, or any agent of such an entity, is prohibited from reporting a health care expense debt to a credit bu</w:t>
      </w:r>
      <w:r w:rsidR="00801FFA">
        <w:rPr>
          <w:color w:val="000000" w:themeColor="text1"/>
          <w:u w:color="000000" w:themeColor="text1"/>
        </w:rPr>
        <w:t>reau or from pursuing</w:t>
      </w:r>
      <w:r w:rsidRPr="007B3CF0">
        <w:rPr>
          <w:color w:val="000000" w:themeColor="text1"/>
          <w:u w:color="000000" w:themeColor="text1"/>
        </w:rPr>
        <w:t xml:space="preserve"> collection activities or any other adverse financial action, unless the entity or agent is able to demonstrate that the person liable for the medical debt was presented with and agreed to the total cost of all health care services to be provided prior to agreeing to receive the services.</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CF0">
        <w:rPr>
          <w:color w:val="000000" w:themeColor="text1"/>
          <w:u w:color="000000" w:themeColor="text1"/>
        </w:rPr>
        <w:t>The total cost must include all services performed by the medical service or care entity and its staff, as well as any authorized services provided by a contractor, affiliate, or any other third party who provided services in the facility, and the total cost to be billed must include out</w:t>
      </w:r>
      <w:r>
        <w:rPr>
          <w:color w:val="000000" w:themeColor="text1"/>
          <w:u w:color="000000" w:themeColor="text1"/>
        </w:rPr>
        <w:noBreakHyphen/>
      </w:r>
      <w:r w:rsidRPr="007B3CF0">
        <w:rPr>
          <w:color w:val="000000" w:themeColor="text1"/>
          <w:u w:color="000000" w:themeColor="text1"/>
        </w:rPr>
        <w:t>of</w:t>
      </w:r>
      <w:r>
        <w:rPr>
          <w:color w:val="000000" w:themeColor="text1"/>
          <w:u w:color="000000" w:themeColor="text1"/>
        </w:rPr>
        <w:noBreakHyphen/>
      </w:r>
      <w:r w:rsidRPr="007B3CF0">
        <w:rPr>
          <w:color w:val="000000" w:themeColor="text1"/>
          <w:u w:color="000000" w:themeColor="text1"/>
        </w:rPr>
        <w:t>network providers.</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CF0">
        <w:rPr>
          <w:color w:val="000000" w:themeColor="text1"/>
          <w:u w:color="000000" w:themeColor="text1"/>
        </w:rPr>
        <w:t>(3)</w:t>
      </w:r>
      <w:r>
        <w:rPr>
          <w:color w:val="000000" w:themeColor="text1"/>
          <w:u w:color="000000" w:themeColor="text1"/>
        </w:rPr>
        <w:tab/>
      </w:r>
      <w:r w:rsidRPr="007B3CF0">
        <w:rPr>
          <w:color w:val="000000" w:themeColor="text1"/>
          <w:u w:color="000000" w:themeColor="text1"/>
        </w:rPr>
        <w:t>The total cost of service must be presented to the patient separately from all other forms, information, and paperwork, and must be written in a readable font in plain language and be prominently and conspicuously displayed on the first page of the document in which it is contained.</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(B)</w:t>
      </w:r>
      <w:r>
        <w:rPr>
          <w:color w:val="000000" w:themeColor="text1"/>
          <w:u w:color="000000" w:themeColor="text1"/>
        </w:rPr>
        <w:tab/>
      </w:r>
      <w:r w:rsidRPr="007B3CF0">
        <w:rPr>
          <w:color w:val="000000" w:themeColor="text1"/>
          <w:u w:color="000000" w:themeColor="text1"/>
        </w:rPr>
        <w:t xml:space="preserve">A medical service or care entity, or any agent of such an entity, is prohibited from reporting a health care expense debt to a </w:t>
      </w:r>
      <w:r w:rsidRPr="007B3CF0">
        <w:rPr>
          <w:color w:val="000000" w:themeColor="text1"/>
          <w:u w:color="000000" w:themeColor="text1"/>
        </w:rPr>
        <w:lastRenderedPageBreak/>
        <w:t xml:space="preserve">credit bureau or </w:t>
      </w:r>
      <w:r w:rsidR="00801FFA">
        <w:rPr>
          <w:color w:val="000000" w:themeColor="text1"/>
          <w:u w:color="000000" w:themeColor="text1"/>
        </w:rPr>
        <w:t xml:space="preserve">from </w:t>
      </w:r>
      <w:r w:rsidRPr="007B3CF0">
        <w:rPr>
          <w:color w:val="000000" w:themeColor="text1"/>
          <w:u w:color="000000" w:themeColor="text1"/>
        </w:rPr>
        <w:t>pursu</w:t>
      </w:r>
      <w:r w:rsidR="00801FFA">
        <w:rPr>
          <w:color w:val="000000" w:themeColor="text1"/>
          <w:u w:color="000000" w:themeColor="text1"/>
        </w:rPr>
        <w:t>ing</w:t>
      </w:r>
      <w:r w:rsidRPr="007B3CF0">
        <w:rPr>
          <w:color w:val="000000" w:themeColor="text1"/>
          <w:u w:color="000000" w:themeColor="text1"/>
        </w:rPr>
        <w:t xml:space="preserve"> collection activities or any other adverse financial action for health care services provided due to complications from the services originally intended or rendered.</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(C)</w:t>
      </w:r>
      <w:r>
        <w:rPr>
          <w:color w:val="000000" w:themeColor="text1"/>
          <w:u w:color="000000" w:themeColor="text1"/>
        </w:rPr>
        <w:tab/>
      </w:r>
      <w:r w:rsidRPr="007B3CF0">
        <w:rPr>
          <w:color w:val="000000" w:themeColor="text1"/>
          <w:u w:color="000000" w:themeColor="text1"/>
        </w:rPr>
        <w:t>Failure to comply with the provisions of this section is grounds for dismissal of any collection suit or garnishment proceeding and may be asserted as an affirmative defense to any such action.</w:t>
      </w:r>
    </w:p>
    <w:p w:rsidR="00771BEE" w:rsidRPr="007B3CF0" w:rsidRDefault="00771BEE" w:rsidP="0077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CF0">
        <w:rPr>
          <w:color w:val="000000" w:themeColor="text1"/>
          <w:u w:color="000000" w:themeColor="text1"/>
        </w:rPr>
        <w:t>(D)</w:t>
      </w:r>
      <w:r>
        <w:rPr>
          <w:color w:val="000000" w:themeColor="text1"/>
          <w:u w:color="000000" w:themeColor="text1"/>
        </w:rPr>
        <w:tab/>
      </w:r>
      <w:r w:rsidRPr="007B3CF0">
        <w:rPr>
          <w:color w:val="000000" w:themeColor="text1"/>
          <w:u w:color="000000" w:themeColor="text1"/>
        </w:rPr>
        <w:t xml:space="preserve">For purposes of this section, </w:t>
      </w:r>
      <w:r w:rsidRPr="00771BEE">
        <w:rPr>
          <w:color w:val="000000" w:themeColor="text1"/>
          <w:u w:color="000000" w:themeColor="text1"/>
        </w:rPr>
        <w:t>‘</w:t>
      </w:r>
      <w:r w:rsidRPr="007B3CF0">
        <w:rPr>
          <w:color w:val="000000" w:themeColor="text1"/>
          <w:u w:color="000000" w:themeColor="text1"/>
        </w:rPr>
        <w:t>medical service or care entity</w:t>
      </w:r>
      <w:r w:rsidRPr="00771BEE">
        <w:rPr>
          <w:color w:val="000000" w:themeColor="text1"/>
          <w:u w:color="000000" w:themeColor="text1"/>
        </w:rPr>
        <w:t>’</w:t>
      </w:r>
      <w:r>
        <w:rPr>
          <w:color w:val="000000" w:themeColor="text1"/>
          <w:u w:color="000000" w:themeColor="text1"/>
        </w:rPr>
        <w:t xml:space="preserve"> </w:t>
      </w:r>
      <w:r w:rsidRPr="007B3CF0">
        <w:rPr>
          <w:color w:val="000000" w:themeColor="text1"/>
          <w:u w:color="000000" w:themeColor="text1"/>
        </w:rPr>
        <w:t>includes, but is not limited to, a medical care corporation, health care corporation, hospital service association, medical service corporation, health care maintenance organization, not</w:t>
      </w:r>
      <w:r>
        <w:rPr>
          <w:color w:val="000000" w:themeColor="text1"/>
          <w:u w:color="000000" w:themeColor="text1"/>
        </w:rPr>
        <w:noBreakHyphen/>
      </w:r>
      <w:r w:rsidRPr="007B3CF0">
        <w:rPr>
          <w:color w:val="000000" w:themeColor="text1"/>
          <w:u w:color="000000" w:themeColor="text1"/>
        </w:rPr>
        <w:t>for</w:t>
      </w:r>
      <w:r>
        <w:rPr>
          <w:color w:val="000000" w:themeColor="text1"/>
          <w:u w:color="000000" w:themeColor="text1"/>
        </w:rPr>
        <w:noBreakHyphen/>
      </w:r>
      <w:r w:rsidRPr="007B3CF0">
        <w:rPr>
          <w:color w:val="000000" w:themeColor="text1"/>
          <w:u w:color="000000" w:themeColor="text1"/>
        </w:rPr>
        <w:t>profit hospital, insurer, insurance company</w:t>
      </w:r>
      <w:r>
        <w:rPr>
          <w:color w:val="000000" w:themeColor="text1"/>
          <w:u w:color="000000" w:themeColor="text1"/>
        </w:rPr>
        <w:t>,</w:t>
      </w:r>
      <w:r w:rsidRPr="007B3CF0">
        <w:rPr>
          <w:color w:val="000000" w:themeColor="text1"/>
          <w:u w:color="000000" w:themeColor="text1"/>
        </w:rPr>
        <w:t xml:space="preserve"> or any other third</w:t>
      </w:r>
      <w:r>
        <w:rPr>
          <w:color w:val="000000" w:themeColor="text1"/>
          <w:u w:color="000000" w:themeColor="text1"/>
        </w:rPr>
        <w:noBreakHyphen/>
      </w:r>
      <w:r w:rsidRPr="007B3CF0">
        <w:rPr>
          <w:color w:val="000000" w:themeColor="text1"/>
          <w:u w:color="000000" w:themeColor="text1"/>
        </w:rPr>
        <w:t>party payer of medical expenses.”</w:t>
      </w: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EF" w:rsidRDefault="00C35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BEE">
        <w:t>2</w:t>
      </w:r>
      <w:r>
        <w:t>.</w:t>
      </w:r>
      <w:r>
        <w:tab/>
        <w:t>This act takes effect upon approval by the Governor.</w:t>
      </w:r>
    </w:p>
    <w:p w:rsidR="00A70D20" w:rsidRDefault="00771B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F1F" w:rsidRDefault="00AE3F1F" w:rsidP="00AE3F1F">
      <w:pPr>
        <w:suppressAutoHyphens/>
      </w:pPr>
    </w:p>
    <w:sectPr w:rsidR="00AE3F1F" w:rsidSect="00AE3F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6EF" w:rsidRDefault="00C356EF" w:rsidP="009F0C77">
      <w:r>
        <w:separator/>
      </w:r>
    </w:p>
  </w:endnote>
  <w:endnote w:type="continuationSeparator" w:id="0">
    <w:p w:rsidR="00C356EF" w:rsidRDefault="00C35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769375-855A-429B-8942-9CC13E10E629}"/>
    <w:embedBold r:id="rId2" w:fontKey="{498B7AEE-A591-4936-A687-39BB896D0E1F}"/>
  </w:font>
  <w:font w:name="Calibri">
    <w:panose1 w:val="020F0502020204030204"/>
    <w:charset w:val="00"/>
    <w:family w:val="swiss"/>
    <w:pitch w:val="variable"/>
    <w:sig w:usb0="E4002EFF" w:usb1="C000247B" w:usb2="00000009" w:usb3="00000000" w:csb0="000001FF" w:csb1="00000000"/>
    <w:embedRegular r:id="rId3" w:fontKey="{C3BE5DF0-2E6B-4099-9F41-106121EE2762}"/>
  </w:font>
  <w:font w:name="Segoe UI">
    <w:panose1 w:val="020B0502040204020203"/>
    <w:charset w:val="00"/>
    <w:family w:val="swiss"/>
    <w:pitch w:val="variable"/>
    <w:sig w:usb0="E4002EFF" w:usb1="C000E47F" w:usb2="00000009" w:usb3="00000000" w:csb0="000001FF" w:csb1="00000000"/>
    <w:embedRegular r:id="rId4" w:fontKey="{49C5DA23-9DD1-49E1-B5F4-41125BBC1746}"/>
  </w:font>
  <w:font w:name="Cambria">
    <w:panose1 w:val="02040503050406030204"/>
    <w:charset w:val="00"/>
    <w:family w:val="roman"/>
    <w:pitch w:val="variable"/>
    <w:sig w:usb0="E00006FF" w:usb1="420024FF" w:usb2="02000000" w:usb3="00000000" w:csb0="0000019F" w:csb1="00000000"/>
    <w:embedRegular r:id="rId5" w:fontKey="{3DA89FB6-5CBD-433D-A705-93D2F6A413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F1F" w:rsidRPr="008D6FA8" w:rsidRDefault="00AE3F1F" w:rsidP="008D6FA8">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sidR="00770B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6EF" w:rsidRDefault="00C356EF" w:rsidP="009F0C77">
      <w:r>
        <w:separator/>
      </w:r>
    </w:p>
  </w:footnote>
  <w:footnote w:type="continuationSeparator" w:id="0">
    <w:p w:rsidR="00C356EF" w:rsidRDefault="00C35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6VR21"/>
    <w:docVar w:name="CoverBillType" w:val="b"/>
    <w:docVar w:name="DocPath" w:val="L:\Council\bills\RT\17996VR21.DOCX"/>
    <w:docVar w:name="dvBillNumber" w:val="4030"/>
    <w:docVar w:name="dvBillNumberPrefix" w:val="H. "/>
    <w:docVar w:name="dvOriginalBody" w:val="House"/>
    <w:docVar w:name="dvSteno" w:val="RT"/>
    <w:docVar w:name="NameofBody" w:val="h"/>
    <w:docVar w:name="vGroup2" w:val="Council"/>
  </w:docVars>
  <w:rsids>
    <w:rsidRoot w:val="00C356E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3E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AB2"/>
    <w:rsid w:val="004809EE"/>
    <w:rsid w:val="004E7D54"/>
    <w:rsid w:val="005273C6"/>
    <w:rsid w:val="00530A69"/>
    <w:rsid w:val="00543038"/>
    <w:rsid w:val="00545593"/>
    <w:rsid w:val="00556EBF"/>
    <w:rsid w:val="00577C6C"/>
    <w:rsid w:val="005A62FE"/>
    <w:rsid w:val="005C2FE2"/>
    <w:rsid w:val="005E2BC9"/>
    <w:rsid w:val="00605102"/>
    <w:rsid w:val="006215AA"/>
    <w:rsid w:val="006913C9"/>
    <w:rsid w:val="0069470D"/>
    <w:rsid w:val="006D58AA"/>
    <w:rsid w:val="00734F00"/>
    <w:rsid w:val="00736959"/>
    <w:rsid w:val="00770B5A"/>
    <w:rsid w:val="00771BEE"/>
    <w:rsid w:val="007A70AE"/>
    <w:rsid w:val="00801FFA"/>
    <w:rsid w:val="008362E8"/>
    <w:rsid w:val="0085786E"/>
    <w:rsid w:val="008A1768"/>
    <w:rsid w:val="008A489F"/>
    <w:rsid w:val="008D6FA8"/>
    <w:rsid w:val="008F0F33"/>
    <w:rsid w:val="008F4429"/>
    <w:rsid w:val="0094021A"/>
    <w:rsid w:val="009B44AF"/>
    <w:rsid w:val="009C6A0B"/>
    <w:rsid w:val="009F0C77"/>
    <w:rsid w:val="009F4DD1"/>
    <w:rsid w:val="00A02543"/>
    <w:rsid w:val="00A41684"/>
    <w:rsid w:val="00A64E80"/>
    <w:rsid w:val="00A70D20"/>
    <w:rsid w:val="00A72BCD"/>
    <w:rsid w:val="00A741D9"/>
    <w:rsid w:val="00A833AB"/>
    <w:rsid w:val="00A9741D"/>
    <w:rsid w:val="00AC34A2"/>
    <w:rsid w:val="00AD1C9A"/>
    <w:rsid w:val="00AD4B17"/>
    <w:rsid w:val="00AE3F1F"/>
    <w:rsid w:val="00B412D4"/>
    <w:rsid w:val="00B64FFF"/>
    <w:rsid w:val="00BA780F"/>
    <w:rsid w:val="00BE3C22"/>
    <w:rsid w:val="00C0345E"/>
    <w:rsid w:val="00C21ABE"/>
    <w:rsid w:val="00C31C95"/>
    <w:rsid w:val="00C3483A"/>
    <w:rsid w:val="00C356E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5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9B9D06-527E-4AF3-A710-AB126EB0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038"/>
    <w:rPr>
      <w:rFonts w:ascii="Segoe UI" w:eastAsia="Times New Roman" w:hAnsi="Segoe UI" w:cs="Segoe UI"/>
      <w:sz w:val="18"/>
      <w:szCs w:val="18"/>
    </w:rPr>
  </w:style>
  <w:style w:type="character" w:styleId="Hyperlink">
    <w:name w:val="Hyperlink"/>
    <w:basedOn w:val="DefaultParagraphFont"/>
    <w:uiPriority w:val="99"/>
    <w:unhideWhenUsed/>
    <w:rsid w:val="00AE3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30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8DCB8-7E4E-4BA2-8F5F-FEE11915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4030: Subject not yet available - South Carolina Legislature Online</dc:title>
  <dc:creator>Rebecca Turner</dc:creator>
  <cp:lastModifiedBy>Sade Wilson</cp:lastModifiedBy>
  <cp:revision>2</cp:revision>
  <cp:lastPrinted>2021-03-03T19:17:00Z</cp:lastPrinted>
  <dcterms:created xsi:type="dcterms:W3CDTF">2021-03-05T16:51:00Z</dcterms:created>
  <dcterms:modified xsi:type="dcterms:W3CDTF">2021-03-05T16:51:00Z</dcterms:modified>
</cp:coreProperties>
</file>