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C4360"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236DB">
        <w:rPr>
          <w:rFonts w:eastAsia="Times New Roman" w:cs="Times New Roman"/>
          <w:b/>
          <w:szCs w:val="20"/>
        </w:rPr>
        <w:t>South Carolina General Assembly</w:t>
      </w:r>
    </w:p>
    <w:p w14:paraId="06F19644"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236DB">
        <w:rPr>
          <w:rFonts w:eastAsia="Times New Roman" w:cs="Times New Roman"/>
          <w:szCs w:val="20"/>
        </w:rPr>
        <w:t>124th Session, 2021-2022</w:t>
      </w:r>
    </w:p>
    <w:p w14:paraId="7D1E60C0"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172B2D8" w14:textId="647F672D" w:rsidR="00B236DB" w:rsidRPr="00B236DB" w:rsidRDefault="00A05608"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A192, R216, H4600</w:t>
      </w:r>
    </w:p>
    <w:p w14:paraId="7843BD24"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9BC0284"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6DB">
        <w:rPr>
          <w:rFonts w:eastAsia="Times New Roman" w:cs="Times New Roman"/>
          <w:b/>
          <w:szCs w:val="20"/>
        </w:rPr>
        <w:t>STATUS INFORMATION</w:t>
      </w:r>
    </w:p>
    <w:p w14:paraId="1CB96649"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F95BA51"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6DB">
        <w:rPr>
          <w:rFonts w:eastAsia="Times New Roman" w:cs="Times New Roman"/>
          <w:szCs w:val="20"/>
        </w:rPr>
        <w:t>General Bill</w:t>
      </w:r>
    </w:p>
    <w:p w14:paraId="7E1966F3"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6DB">
        <w:rPr>
          <w:rFonts w:eastAsia="Times New Roman" w:cs="Times New Roman"/>
          <w:szCs w:val="20"/>
        </w:rPr>
        <w:t>Sponsors: Reps. West and Bennett</w:t>
      </w:r>
    </w:p>
    <w:p w14:paraId="2F8F7AF4"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6DB">
        <w:rPr>
          <w:rFonts w:eastAsia="Times New Roman" w:cs="Times New Roman"/>
          <w:szCs w:val="20"/>
        </w:rPr>
        <w:t>Document Path: l:\council\bills\cc\16081vr22.docx</w:t>
      </w:r>
    </w:p>
    <w:p w14:paraId="2E6CB417"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58BAA5D" w14:textId="77777777" w:rsidR="005E519C" w:rsidRDefault="005E519C"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2022</w:t>
      </w:r>
    </w:p>
    <w:p w14:paraId="1BC64074" w14:textId="77777777" w:rsidR="005E519C" w:rsidRDefault="005E519C"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2022</w:t>
      </w:r>
    </w:p>
    <w:p w14:paraId="5A5D05F2" w14:textId="77777777" w:rsidR="005E519C" w:rsidRDefault="005E519C"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2022</w:t>
      </w:r>
    </w:p>
    <w:p w14:paraId="22B2A0A6" w14:textId="77777777" w:rsidR="005E519C" w:rsidRDefault="005E519C"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0A870B62" w14:textId="77777777" w:rsidR="005E519C" w:rsidRDefault="005E519C"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C4D815A" w14:textId="39C9B73A"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6DB">
        <w:rPr>
          <w:rFonts w:eastAsia="Times New Roman" w:cs="Times New Roman"/>
          <w:szCs w:val="20"/>
        </w:rPr>
        <w:t>Summary: Electro-convulsive therapy, third-party consent</w:t>
      </w:r>
    </w:p>
    <w:p w14:paraId="24684EF6"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0A9F11B"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2938C6D" w14:textId="77777777" w:rsidR="00B236DB" w:rsidRPr="00B236DB" w:rsidRDefault="00B236DB" w:rsidP="00B236DB">
      <w:pPr>
        <w:widowControl w:val="0"/>
        <w:tabs>
          <w:tab w:val="center" w:pos="590"/>
          <w:tab w:val="center" w:pos="1440"/>
          <w:tab w:val="left" w:pos="1872"/>
          <w:tab w:val="left" w:pos="9187"/>
        </w:tabs>
        <w:rPr>
          <w:rFonts w:eastAsia="Times New Roman" w:cs="Times New Roman"/>
          <w:szCs w:val="20"/>
        </w:rPr>
      </w:pPr>
      <w:r w:rsidRPr="00B236DB">
        <w:rPr>
          <w:rFonts w:eastAsia="Times New Roman" w:cs="Times New Roman"/>
          <w:b/>
          <w:szCs w:val="20"/>
        </w:rPr>
        <w:t>HISTORY OF LEGISLATIVE ACTIONS</w:t>
      </w:r>
    </w:p>
    <w:p w14:paraId="117EEF7E" w14:textId="77777777" w:rsidR="00B236DB" w:rsidRPr="00B236DB" w:rsidRDefault="00B236DB" w:rsidP="00B236DB">
      <w:pPr>
        <w:widowControl w:val="0"/>
        <w:tabs>
          <w:tab w:val="center" w:pos="590"/>
          <w:tab w:val="center" w:pos="1440"/>
          <w:tab w:val="left" w:pos="1872"/>
          <w:tab w:val="left" w:pos="9187"/>
        </w:tabs>
        <w:rPr>
          <w:rFonts w:eastAsia="Times New Roman" w:cs="Times New Roman"/>
          <w:szCs w:val="20"/>
        </w:rPr>
      </w:pPr>
    </w:p>
    <w:p w14:paraId="4DB66999" w14:textId="77777777" w:rsidR="00B236DB" w:rsidRPr="00B236DB" w:rsidRDefault="00B236DB" w:rsidP="00B236DB">
      <w:pPr>
        <w:widowControl w:val="0"/>
        <w:tabs>
          <w:tab w:val="center" w:pos="590"/>
          <w:tab w:val="center" w:pos="1440"/>
          <w:tab w:val="left" w:pos="1872"/>
          <w:tab w:val="left" w:pos="9187"/>
        </w:tabs>
        <w:rPr>
          <w:rFonts w:eastAsia="Times New Roman" w:cs="Times New Roman"/>
          <w:szCs w:val="20"/>
        </w:rPr>
      </w:pPr>
      <w:r w:rsidRPr="00B236DB">
        <w:rPr>
          <w:rFonts w:eastAsia="Times New Roman" w:cs="Times New Roman"/>
          <w:szCs w:val="20"/>
          <w:u w:val="single"/>
        </w:rPr>
        <w:tab/>
        <w:t>Date</w:t>
      </w:r>
      <w:r w:rsidRPr="00B236DB">
        <w:rPr>
          <w:rFonts w:eastAsia="Times New Roman" w:cs="Times New Roman"/>
          <w:szCs w:val="20"/>
          <w:u w:val="single"/>
        </w:rPr>
        <w:tab/>
        <w:t>Body</w:t>
      </w:r>
      <w:r w:rsidRPr="00B236DB">
        <w:rPr>
          <w:rFonts w:eastAsia="Times New Roman" w:cs="Times New Roman"/>
          <w:szCs w:val="20"/>
          <w:u w:val="single"/>
        </w:rPr>
        <w:tab/>
        <w:t>Action Description with journal page number</w:t>
      </w:r>
      <w:r w:rsidRPr="00B236DB">
        <w:rPr>
          <w:rFonts w:eastAsia="Times New Roman" w:cs="Times New Roman"/>
          <w:szCs w:val="20"/>
          <w:u w:val="single"/>
        </w:rPr>
        <w:tab/>
      </w:r>
    </w:p>
    <w:p w14:paraId="7CCE66E7"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Prefiled</w:t>
      </w:r>
    </w:p>
    <w:p w14:paraId="154E9F4F"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 xml:space="preserve">Referred to Committee on </w:t>
      </w:r>
      <w:r w:rsidRPr="00A52B3E">
        <w:rPr>
          <w:rFonts w:cs="Times New Roman"/>
          <w:b/>
        </w:rPr>
        <w:t>Medical, Military, Public and Municipal Affairs</w:t>
      </w:r>
    </w:p>
    <w:p w14:paraId="0442690D"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Introduced and read first time (</w:t>
      </w:r>
      <w:hyperlink r:id="rId7" w:history="1">
        <w:r w:rsidRPr="00A52B3E">
          <w:rPr>
            <w:rStyle w:val="Hyperlink"/>
            <w:rFonts w:cs="Times New Roman"/>
          </w:rPr>
          <w:t>House Journal</w:t>
        </w:r>
        <w:r w:rsidRPr="00A52B3E">
          <w:rPr>
            <w:rStyle w:val="Hyperlink"/>
            <w:rFonts w:cs="Times New Roman"/>
          </w:rPr>
          <w:noBreakHyphen/>
          <w:t>page 65</w:t>
        </w:r>
      </w:hyperlink>
      <w:r>
        <w:rPr>
          <w:rFonts w:cs="Times New Roman"/>
        </w:rPr>
        <w:t>)</w:t>
      </w:r>
    </w:p>
    <w:p w14:paraId="02C4D8EA"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Referred to Committee on </w:t>
      </w:r>
      <w:r w:rsidRPr="00A52B3E">
        <w:rPr>
          <w:rFonts w:cs="Times New Roman"/>
          <w:b/>
        </w:rPr>
        <w:t>Medical, Military, Public and Municipal Affairs</w:t>
      </w:r>
      <w:r>
        <w:rPr>
          <w:rFonts w:cs="Times New Roman"/>
        </w:rPr>
        <w:t xml:space="preserve"> (</w:t>
      </w:r>
      <w:hyperlink r:id="rId8" w:history="1">
        <w:r w:rsidRPr="00A52B3E">
          <w:rPr>
            <w:rStyle w:val="Hyperlink"/>
            <w:rFonts w:cs="Times New Roman"/>
          </w:rPr>
          <w:t>House Journal</w:t>
        </w:r>
        <w:r w:rsidRPr="00A52B3E">
          <w:rPr>
            <w:rStyle w:val="Hyperlink"/>
            <w:rFonts w:cs="Times New Roman"/>
          </w:rPr>
          <w:noBreakHyphen/>
          <w:t>page 65</w:t>
        </w:r>
      </w:hyperlink>
      <w:bookmarkStart w:id="0" w:name="_GoBack"/>
      <w:bookmarkEnd w:id="0"/>
      <w:r>
        <w:rPr>
          <w:rFonts w:cs="Times New Roman"/>
        </w:rPr>
        <w:t>)</w:t>
      </w:r>
    </w:p>
    <w:p w14:paraId="54C23D88"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t>
      </w:r>
      <w:r w:rsidRPr="00A52B3E">
        <w:rPr>
          <w:rFonts w:cs="Times New Roman"/>
          <w:b/>
        </w:rPr>
        <w:t>Medical, Military, Public and Municipal Affairs</w:t>
      </w:r>
      <w:r>
        <w:rPr>
          <w:rFonts w:cs="Times New Roman"/>
        </w:rPr>
        <w:t xml:space="preserve"> (</w:t>
      </w:r>
      <w:hyperlink r:id="rId9" w:history="1">
        <w:r w:rsidRPr="00A52B3E">
          <w:rPr>
            <w:rStyle w:val="Hyperlink"/>
            <w:rFonts w:cs="Times New Roman"/>
          </w:rPr>
          <w:t>House Journal</w:t>
        </w:r>
        <w:r w:rsidRPr="00A52B3E">
          <w:rPr>
            <w:rStyle w:val="Hyperlink"/>
            <w:rFonts w:cs="Times New Roman"/>
          </w:rPr>
          <w:noBreakHyphen/>
          <w:t>page 49</w:t>
        </w:r>
      </w:hyperlink>
      <w:r>
        <w:rPr>
          <w:rFonts w:cs="Times New Roman"/>
        </w:rPr>
        <w:t>)</w:t>
      </w:r>
    </w:p>
    <w:p w14:paraId="3ABF70E9"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2/18/2022</w:t>
      </w:r>
      <w:r>
        <w:rPr>
          <w:rFonts w:cs="Times New Roman"/>
        </w:rPr>
        <w:tab/>
      </w:r>
      <w:r>
        <w:rPr>
          <w:rFonts w:cs="Times New Roman"/>
        </w:rPr>
        <w:tab/>
        <w:t>Scrivener's error corrected</w:t>
      </w:r>
    </w:p>
    <w:p w14:paraId="5D5B77B4"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Read second time (</w:t>
      </w:r>
      <w:hyperlink r:id="rId10" w:history="1">
        <w:r w:rsidRPr="00A52B3E">
          <w:rPr>
            <w:rStyle w:val="Hyperlink"/>
            <w:rFonts w:cs="Times New Roman"/>
          </w:rPr>
          <w:t>House Journal</w:t>
        </w:r>
        <w:r w:rsidRPr="00A52B3E">
          <w:rPr>
            <w:rStyle w:val="Hyperlink"/>
            <w:rFonts w:cs="Times New Roman"/>
          </w:rPr>
          <w:noBreakHyphen/>
          <w:t>page 14</w:t>
        </w:r>
      </w:hyperlink>
      <w:r>
        <w:rPr>
          <w:rFonts w:cs="Times New Roman"/>
        </w:rPr>
        <w:t>)</w:t>
      </w:r>
    </w:p>
    <w:p w14:paraId="190C2529"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1" w:history="1">
        <w:r w:rsidRPr="00A52B3E">
          <w:rPr>
            <w:rStyle w:val="Hyperlink"/>
            <w:rFonts w:cs="Times New Roman"/>
          </w:rPr>
          <w:t>House Journal</w:t>
        </w:r>
        <w:r w:rsidRPr="00A52B3E">
          <w:rPr>
            <w:rStyle w:val="Hyperlink"/>
            <w:rFonts w:cs="Times New Roman"/>
          </w:rPr>
          <w:noBreakHyphen/>
          <w:t>page 14</w:t>
        </w:r>
      </w:hyperlink>
      <w:r>
        <w:rPr>
          <w:rFonts w:cs="Times New Roman"/>
        </w:rPr>
        <w:t>)</w:t>
      </w:r>
    </w:p>
    <w:p w14:paraId="01FA5789"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Read third time and sent to Senate (</w:t>
      </w:r>
      <w:hyperlink r:id="rId12" w:history="1">
        <w:r w:rsidRPr="00A52B3E">
          <w:rPr>
            <w:rStyle w:val="Hyperlink"/>
            <w:rFonts w:cs="Times New Roman"/>
          </w:rPr>
          <w:t>House Journal</w:t>
        </w:r>
        <w:r w:rsidRPr="00A52B3E">
          <w:rPr>
            <w:rStyle w:val="Hyperlink"/>
            <w:rFonts w:cs="Times New Roman"/>
          </w:rPr>
          <w:noBreakHyphen/>
          <w:t>page 6</w:t>
        </w:r>
      </w:hyperlink>
      <w:r>
        <w:rPr>
          <w:rFonts w:cs="Times New Roman"/>
        </w:rPr>
        <w:t>)</w:t>
      </w:r>
    </w:p>
    <w:p w14:paraId="7BFCDABD"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Introduced and read first time (</w:t>
      </w:r>
      <w:hyperlink r:id="rId13" w:history="1">
        <w:r w:rsidRPr="00A52B3E">
          <w:rPr>
            <w:rStyle w:val="Hyperlink"/>
            <w:rFonts w:cs="Times New Roman"/>
          </w:rPr>
          <w:t>Senate Journal</w:t>
        </w:r>
        <w:r w:rsidRPr="00A52B3E">
          <w:rPr>
            <w:rStyle w:val="Hyperlink"/>
            <w:rFonts w:cs="Times New Roman"/>
          </w:rPr>
          <w:noBreakHyphen/>
          <w:t>page 4</w:t>
        </w:r>
      </w:hyperlink>
      <w:r>
        <w:rPr>
          <w:rFonts w:cs="Times New Roman"/>
        </w:rPr>
        <w:t>)</w:t>
      </w:r>
    </w:p>
    <w:p w14:paraId="2E6078CE"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Referred to Committee on </w:t>
      </w:r>
      <w:r w:rsidRPr="00A52B3E">
        <w:rPr>
          <w:rFonts w:cs="Times New Roman"/>
          <w:b/>
        </w:rPr>
        <w:t>Medical Affairs</w:t>
      </w:r>
      <w:r>
        <w:rPr>
          <w:rFonts w:cs="Times New Roman"/>
        </w:rPr>
        <w:t xml:space="preserve"> (</w:t>
      </w:r>
      <w:hyperlink r:id="rId14" w:history="1">
        <w:r w:rsidRPr="00A52B3E">
          <w:rPr>
            <w:rStyle w:val="Hyperlink"/>
            <w:rFonts w:cs="Times New Roman"/>
          </w:rPr>
          <w:t>Senate Journal</w:t>
        </w:r>
        <w:r w:rsidRPr="00A52B3E">
          <w:rPr>
            <w:rStyle w:val="Hyperlink"/>
            <w:rFonts w:cs="Times New Roman"/>
          </w:rPr>
          <w:noBreakHyphen/>
          <w:t>page 4</w:t>
        </w:r>
      </w:hyperlink>
      <w:r>
        <w:rPr>
          <w:rFonts w:cs="Times New Roman"/>
        </w:rPr>
        <w:t>)</w:t>
      </w:r>
    </w:p>
    <w:p w14:paraId="46072FDB"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 xml:space="preserve">Committee report: Favorable </w:t>
      </w:r>
      <w:r w:rsidRPr="00A52B3E">
        <w:rPr>
          <w:rFonts w:cs="Times New Roman"/>
          <w:b/>
        </w:rPr>
        <w:t>Medical Affairs</w:t>
      </w:r>
      <w:r>
        <w:rPr>
          <w:rFonts w:cs="Times New Roman"/>
        </w:rPr>
        <w:t xml:space="preserve"> (</w:t>
      </w:r>
      <w:hyperlink r:id="rId15" w:history="1">
        <w:r w:rsidRPr="00A52B3E">
          <w:rPr>
            <w:rStyle w:val="Hyperlink"/>
            <w:rFonts w:cs="Times New Roman"/>
          </w:rPr>
          <w:t>Senate Journal</w:t>
        </w:r>
        <w:r w:rsidRPr="00A52B3E">
          <w:rPr>
            <w:rStyle w:val="Hyperlink"/>
            <w:rFonts w:cs="Times New Roman"/>
          </w:rPr>
          <w:noBreakHyphen/>
          <w:t>page 4</w:t>
        </w:r>
      </w:hyperlink>
      <w:r>
        <w:rPr>
          <w:rFonts w:cs="Times New Roman"/>
        </w:rPr>
        <w:t>)</w:t>
      </w:r>
    </w:p>
    <w:p w14:paraId="1CC3C72B"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6" w:history="1">
        <w:r w:rsidRPr="00A52B3E">
          <w:rPr>
            <w:rStyle w:val="Hyperlink"/>
            <w:rFonts w:cs="Times New Roman"/>
          </w:rPr>
          <w:t>Senate Journal</w:t>
        </w:r>
        <w:r w:rsidRPr="00A52B3E">
          <w:rPr>
            <w:rStyle w:val="Hyperlink"/>
            <w:rFonts w:cs="Times New Roman"/>
          </w:rPr>
          <w:noBreakHyphen/>
          <w:t>page 45</w:t>
        </w:r>
      </w:hyperlink>
      <w:r>
        <w:rPr>
          <w:rFonts w:cs="Times New Roman"/>
        </w:rPr>
        <w:t>)</w:t>
      </w:r>
    </w:p>
    <w:p w14:paraId="1DBC7199"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39  Nays</w:t>
      </w:r>
      <w:r>
        <w:rPr>
          <w:rFonts w:cs="Times New Roman"/>
        </w:rPr>
        <w:noBreakHyphen/>
        <w:t>1 (</w:t>
      </w:r>
      <w:hyperlink r:id="rId17" w:history="1">
        <w:r w:rsidRPr="00A52B3E">
          <w:rPr>
            <w:rStyle w:val="Hyperlink"/>
            <w:rFonts w:cs="Times New Roman"/>
          </w:rPr>
          <w:t>Senate Journal</w:t>
        </w:r>
        <w:r w:rsidRPr="00A52B3E">
          <w:rPr>
            <w:rStyle w:val="Hyperlink"/>
            <w:rFonts w:cs="Times New Roman"/>
          </w:rPr>
          <w:noBreakHyphen/>
          <w:t>page 45</w:t>
        </w:r>
      </w:hyperlink>
      <w:r>
        <w:rPr>
          <w:rFonts w:cs="Times New Roman"/>
        </w:rPr>
        <w:t>)</w:t>
      </w:r>
    </w:p>
    <w:p w14:paraId="615EBE2A"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third time and enrolled (</w:t>
      </w:r>
      <w:hyperlink r:id="rId18" w:history="1">
        <w:r w:rsidRPr="00A52B3E">
          <w:rPr>
            <w:rStyle w:val="Hyperlink"/>
            <w:rFonts w:cs="Times New Roman"/>
          </w:rPr>
          <w:t>Senate Journal</w:t>
        </w:r>
        <w:r w:rsidRPr="00A52B3E">
          <w:rPr>
            <w:rStyle w:val="Hyperlink"/>
            <w:rFonts w:cs="Times New Roman"/>
          </w:rPr>
          <w:noBreakHyphen/>
          <w:t>page 28</w:t>
        </w:r>
      </w:hyperlink>
      <w:r>
        <w:rPr>
          <w:rFonts w:cs="Times New Roman"/>
        </w:rPr>
        <w:t>)</w:t>
      </w:r>
    </w:p>
    <w:p w14:paraId="0AB24B52"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216 (</w:t>
      </w:r>
      <w:hyperlink r:id="rId19" w:history="1">
        <w:r w:rsidRPr="00A52B3E">
          <w:rPr>
            <w:rStyle w:val="Hyperlink"/>
            <w:rFonts w:cs="Times New Roman"/>
          </w:rPr>
          <w:t>Senate Journal</w:t>
        </w:r>
        <w:r w:rsidRPr="00A52B3E">
          <w:rPr>
            <w:rStyle w:val="Hyperlink"/>
            <w:rFonts w:cs="Times New Roman"/>
          </w:rPr>
          <w:noBreakHyphen/>
          <w:t>page 224</w:t>
        </w:r>
      </w:hyperlink>
      <w:r>
        <w:rPr>
          <w:rFonts w:cs="Times New Roman"/>
        </w:rPr>
        <w:t>)</w:t>
      </w:r>
    </w:p>
    <w:p w14:paraId="75003824"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2476B57D"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791D525A" w14:textId="77777777" w:rsidR="00A05608" w:rsidRDefault="00A05608" w:rsidP="00A05608">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192</w:t>
      </w:r>
    </w:p>
    <w:p w14:paraId="74ED2DA5" w14:textId="77777777" w:rsidR="00A05608" w:rsidRDefault="00A05608" w:rsidP="00A05608">
      <w:pPr>
        <w:widowControl w:val="0"/>
        <w:tabs>
          <w:tab w:val="right" w:pos="1008"/>
          <w:tab w:val="left" w:pos="1152"/>
          <w:tab w:val="left" w:pos="1872"/>
          <w:tab w:val="left" w:pos="9187"/>
        </w:tabs>
        <w:ind w:left="2088" w:hanging="2088"/>
        <w:rPr>
          <w:rFonts w:cs="Times New Roman"/>
        </w:rPr>
      </w:pPr>
    </w:p>
    <w:p w14:paraId="20CD6808" w14:textId="77777777" w:rsidR="00B236DB" w:rsidRPr="00B236DB" w:rsidRDefault="00B236DB" w:rsidP="00B236DB">
      <w:pPr>
        <w:widowControl w:val="0"/>
        <w:tabs>
          <w:tab w:val="right" w:pos="1008"/>
          <w:tab w:val="left" w:pos="1152"/>
          <w:tab w:val="left" w:pos="1872"/>
          <w:tab w:val="left" w:pos="9187"/>
        </w:tabs>
        <w:ind w:left="2088" w:hanging="2088"/>
        <w:rPr>
          <w:rFonts w:eastAsia="Times New Roman" w:cs="Times New Roman"/>
          <w:szCs w:val="20"/>
        </w:rPr>
      </w:pPr>
      <w:r w:rsidRPr="00B236DB">
        <w:rPr>
          <w:rFonts w:eastAsia="Times New Roman" w:cs="Times New Roman"/>
          <w:szCs w:val="20"/>
        </w:rPr>
        <w:t xml:space="preserve">View the latest </w:t>
      </w:r>
      <w:hyperlink r:id="rId20" w:history="1">
        <w:r w:rsidRPr="00B236DB">
          <w:rPr>
            <w:rFonts w:eastAsia="Times New Roman" w:cs="Times New Roman"/>
            <w:color w:val="0000FF" w:themeColor="hyperlink"/>
            <w:szCs w:val="20"/>
            <w:u w:val="single"/>
          </w:rPr>
          <w:t>legislative information</w:t>
        </w:r>
      </w:hyperlink>
      <w:r w:rsidRPr="00B236DB">
        <w:rPr>
          <w:rFonts w:eastAsia="Times New Roman" w:cs="Times New Roman"/>
          <w:szCs w:val="20"/>
        </w:rPr>
        <w:t xml:space="preserve"> at the website</w:t>
      </w:r>
    </w:p>
    <w:p w14:paraId="031CBE1F" w14:textId="77777777" w:rsidR="00B236DB" w:rsidRPr="00B236DB" w:rsidRDefault="00B236DB" w:rsidP="00B236DB">
      <w:pPr>
        <w:widowControl w:val="0"/>
        <w:tabs>
          <w:tab w:val="right" w:pos="1008"/>
          <w:tab w:val="left" w:pos="1152"/>
          <w:tab w:val="left" w:pos="1872"/>
          <w:tab w:val="left" w:pos="9187"/>
        </w:tabs>
        <w:ind w:left="2088" w:hanging="2088"/>
        <w:rPr>
          <w:rFonts w:eastAsia="Times New Roman" w:cs="Times New Roman"/>
          <w:szCs w:val="20"/>
        </w:rPr>
      </w:pPr>
    </w:p>
    <w:p w14:paraId="00B65C1F" w14:textId="77777777" w:rsidR="00B236DB" w:rsidRPr="00B236DB" w:rsidRDefault="00B236DB" w:rsidP="00B236DB">
      <w:pPr>
        <w:widowControl w:val="0"/>
        <w:tabs>
          <w:tab w:val="right" w:pos="1008"/>
          <w:tab w:val="left" w:pos="1152"/>
          <w:tab w:val="left" w:pos="1872"/>
          <w:tab w:val="left" w:pos="9187"/>
        </w:tabs>
        <w:ind w:left="2088" w:hanging="2088"/>
        <w:rPr>
          <w:rFonts w:eastAsia="Times New Roman" w:cs="Times New Roman"/>
          <w:szCs w:val="20"/>
        </w:rPr>
      </w:pPr>
    </w:p>
    <w:p w14:paraId="6EF8AEDC"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6DB">
        <w:rPr>
          <w:rFonts w:eastAsia="Times New Roman" w:cs="Times New Roman"/>
          <w:b/>
          <w:szCs w:val="20"/>
        </w:rPr>
        <w:t>VERSIONS OF THIS BILL</w:t>
      </w:r>
    </w:p>
    <w:p w14:paraId="55591517" w14:textId="77777777" w:rsidR="00B236DB" w:rsidRPr="00B236DB" w:rsidRDefault="00B236DB"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58B0505" w14:textId="7D27E1EF" w:rsidR="00B236DB" w:rsidRPr="00B236DB" w:rsidRDefault="00622578" w:rsidP="00B23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236DB" w:rsidRPr="00B236DB">
          <w:rPr>
            <w:rFonts w:eastAsia="Times New Roman" w:cs="Times New Roman"/>
            <w:color w:val="0000FF" w:themeColor="hyperlink"/>
            <w:szCs w:val="20"/>
            <w:u w:val="single"/>
          </w:rPr>
          <w:t>11/17/2021</w:t>
        </w:r>
      </w:hyperlink>
    </w:p>
    <w:p w14:paraId="514C7FB6" w14:textId="7E13809C" w:rsidR="00B236DB" w:rsidRPr="00B236DB" w:rsidRDefault="00622578" w:rsidP="00B2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236DB" w:rsidRPr="00B236DB">
          <w:rPr>
            <w:rFonts w:eastAsia="Times New Roman" w:cs="Times New Roman"/>
            <w:color w:val="0000FF" w:themeColor="hyperlink"/>
            <w:szCs w:val="20"/>
            <w:u w:val="single"/>
          </w:rPr>
          <w:t>2/17/2022</w:t>
        </w:r>
      </w:hyperlink>
    </w:p>
    <w:p w14:paraId="7ECC3C5C" w14:textId="4D39EB5D" w:rsidR="00B236DB" w:rsidRPr="00B236DB" w:rsidRDefault="00622578" w:rsidP="00B2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236DB" w:rsidRPr="00B236DB">
          <w:rPr>
            <w:rFonts w:eastAsia="Times New Roman" w:cs="Times New Roman"/>
            <w:color w:val="0000FF" w:themeColor="hyperlink"/>
            <w:szCs w:val="20"/>
            <w:u w:val="single"/>
          </w:rPr>
          <w:t>2/18/2022</w:t>
        </w:r>
      </w:hyperlink>
    </w:p>
    <w:p w14:paraId="7C348E0E" w14:textId="42073104" w:rsidR="00B236DB" w:rsidRPr="00B236DB" w:rsidRDefault="00622578" w:rsidP="00B2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236DB" w:rsidRPr="00B236DB">
          <w:rPr>
            <w:rFonts w:eastAsia="Times New Roman" w:cs="Times New Roman"/>
            <w:color w:val="0000FF" w:themeColor="hyperlink"/>
            <w:szCs w:val="20"/>
            <w:u w:val="single"/>
          </w:rPr>
          <w:t>4/21/2022</w:t>
        </w:r>
      </w:hyperlink>
    </w:p>
    <w:p w14:paraId="073A9A03" w14:textId="77777777" w:rsidR="00B236DB" w:rsidRPr="00B236DB" w:rsidRDefault="00B236DB" w:rsidP="00B2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2728FDE5" w14:textId="77777777" w:rsidR="00B236DB" w:rsidRDefault="00B236DB" w:rsidP="00B23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236DB" w:rsidSect="00B236DB">
          <w:pgSz w:w="12240" w:h="15840" w:code="1"/>
          <w:pgMar w:top="1080" w:right="1440" w:bottom="1080" w:left="1440" w:header="720" w:footer="720" w:gutter="0"/>
          <w:pgNumType w:start="1"/>
          <w:cols w:space="720"/>
          <w:noEndnote/>
          <w:docGrid w:linePitch="360"/>
        </w:sectPr>
      </w:pPr>
    </w:p>
    <w:p w14:paraId="521D4B62"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(A192, R216, H4600)</w:t>
      </w:r>
    </w:p>
    <w:p w14:paraId="48E1D3AE" w14:textId="77777777" w:rsidR="0091545A" w:rsidRPr="008836A5"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1A829554" w14:textId="77777777" w:rsidR="0091545A" w:rsidRPr="00B236DB"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236DB">
        <w:rPr>
          <w:rFonts w:cs="Times New Roman"/>
          <w:b/>
          <w:color w:val="000000" w:themeColor="text1"/>
          <w:szCs w:val="36"/>
        </w:rPr>
        <w:t xml:space="preserve">AN ACT </w:t>
      </w:r>
      <w:r w:rsidRPr="00B236DB">
        <w:rPr>
          <w:rFonts w:cs="Times New Roman"/>
          <w:b/>
          <w:color w:val="000000" w:themeColor="text1"/>
          <w:u w:color="000000" w:themeColor="text1"/>
        </w:rPr>
        <w:t>TO AMEND SECTIONS 44</w:t>
      </w:r>
      <w:r w:rsidRPr="00B236DB">
        <w:rPr>
          <w:rFonts w:cs="Times New Roman"/>
          <w:b/>
          <w:color w:val="000000" w:themeColor="text1"/>
          <w:u w:color="000000" w:themeColor="text1"/>
        </w:rPr>
        <w:noBreakHyphen/>
        <w:t>22</w:t>
      </w:r>
      <w:r w:rsidRPr="00B236DB">
        <w:rPr>
          <w:rFonts w:cs="Times New Roman"/>
          <w:b/>
          <w:color w:val="000000" w:themeColor="text1"/>
          <w:u w:color="000000" w:themeColor="text1"/>
        </w:rPr>
        <w:noBreakHyphen/>
        <w:t>40 AND 44</w:t>
      </w:r>
      <w:r w:rsidRPr="00B236DB">
        <w:rPr>
          <w:rFonts w:cs="Times New Roman"/>
          <w:b/>
          <w:color w:val="000000" w:themeColor="text1"/>
          <w:u w:color="000000" w:themeColor="text1"/>
        </w:rPr>
        <w:noBreakHyphen/>
        <w:t>22</w:t>
      </w:r>
      <w:r w:rsidRPr="00B236DB">
        <w:rPr>
          <w:rFonts w:cs="Times New Roman"/>
          <w:b/>
          <w:color w:val="000000" w:themeColor="text1"/>
          <w:u w:color="000000" w:themeColor="text1"/>
        </w:rPr>
        <w:noBreakHyphen/>
        <w:t>140, CODE OF LAWS OF SOUTH CAROLINA, 1976, RELATING TO PERSONS WHO MAY CONSENT ON BEHALF OF CERTAIN PATIENTS TO ELECTRO</w:t>
      </w:r>
      <w:r w:rsidRPr="00B236DB">
        <w:rPr>
          <w:rFonts w:cs="Times New Roman"/>
          <w:b/>
          <w:color w:val="000000" w:themeColor="text1"/>
          <w:u w:color="000000" w:themeColor="text1"/>
        </w:rPr>
        <w:noBreakHyphen/>
        <w:t>CONVULSIVE THERAPY OR MAJOR MEDICAL TREATMENT, SO AS TO CONFORM THE ORDER OF PRIORITY OF SUCH PERSONS TO THE ORDER OF PRIORITY IN THE ADULT HEALTH CARE CONSENT ACT.</w:t>
      </w:r>
    </w:p>
    <w:p w14:paraId="1EA76633"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17086C3A"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Be it enacted by the General Assembly of the State of South Carolina:</w:t>
      </w:r>
    </w:p>
    <w:p w14:paraId="392C9B4D"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7F4EB595"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Consent to electro</w:t>
      </w:r>
      <w:r>
        <w:rPr>
          <w:rFonts w:cs="Times New Roman"/>
          <w:b/>
          <w:bCs/>
        </w:rPr>
        <w:noBreakHyphen/>
        <w:t>convulsive therapy</w:t>
      </w:r>
    </w:p>
    <w:p w14:paraId="09990274" w14:textId="77777777" w:rsidR="0091545A" w:rsidRPr="0090715C"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4DFFD037"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SECTION</w:t>
      </w:r>
      <w:r w:rsidRPr="00FD2824">
        <w:rPr>
          <w:rFonts w:cs="Times New Roman"/>
        </w:rPr>
        <w:tab/>
        <w:t>1.</w:t>
      </w:r>
      <w:r w:rsidRPr="00FD2824">
        <w:rPr>
          <w:rFonts w:cs="Times New Roman"/>
        </w:rPr>
        <w:tab/>
      </w:r>
      <w:r w:rsidRPr="00FD2824">
        <w:rPr>
          <w:rFonts w:cs="Times New Roman"/>
          <w:color w:val="000000" w:themeColor="text1"/>
          <w:u w:color="000000" w:themeColor="text1"/>
        </w:rPr>
        <w:t>Section 44</w:t>
      </w:r>
      <w:r>
        <w:rPr>
          <w:rFonts w:cs="Times New Roman"/>
          <w:color w:val="000000" w:themeColor="text1"/>
          <w:u w:color="000000" w:themeColor="text1"/>
        </w:rPr>
        <w:noBreakHyphen/>
      </w:r>
      <w:r w:rsidRPr="00FD2824">
        <w:rPr>
          <w:rFonts w:cs="Times New Roman"/>
          <w:color w:val="000000" w:themeColor="text1"/>
          <w:u w:color="000000" w:themeColor="text1"/>
        </w:rPr>
        <w:t>22</w:t>
      </w:r>
      <w:r>
        <w:rPr>
          <w:rFonts w:cs="Times New Roman"/>
          <w:color w:val="000000" w:themeColor="text1"/>
          <w:u w:color="000000" w:themeColor="text1"/>
        </w:rPr>
        <w:noBreakHyphen/>
      </w:r>
      <w:r w:rsidRPr="00FD2824">
        <w:rPr>
          <w:rFonts w:cs="Times New Roman"/>
          <w:color w:val="000000" w:themeColor="text1"/>
          <w:u w:color="000000" w:themeColor="text1"/>
        </w:rPr>
        <w:t>40 of the 1976 Code is amended to read:</w:t>
      </w:r>
    </w:p>
    <w:p w14:paraId="69E3B109"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F0B850D"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t>“Section 44</w:t>
      </w:r>
      <w:r>
        <w:rPr>
          <w:rFonts w:cs="Times New Roman"/>
        </w:rPr>
        <w:noBreakHyphen/>
      </w:r>
      <w:r w:rsidRPr="00FD2824">
        <w:rPr>
          <w:rFonts w:cs="Times New Roman"/>
        </w:rPr>
        <w:t>22</w:t>
      </w:r>
      <w:r>
        <w:rPr>
          <w:rFonts w:cs="Times New Roman"/>
        </w:rPr>
        <w:noBreakHyphen/>
      </w:r>
      <w:r w:rsidRPr="00FD2824">
        <w:rPr>
          <w:rFonts w:cs="Times New Roman"/>
        </w:rPr>
        <w:t>40.</w:t>
      </w:r>
      <w:r w:rsidRPr="00FD2824">
        <w:rPr>
          <w:rFonts w:cs="Times New Roman"/>
        </w:rPr>
        <w:tab/>
        <w:t>(A)</w:t>
      </w:r>
      <w:r w:rsidRPr="00FD2824">
        <w:rPr>
          <w:rFonts w:cs="Times New Roman"/>
        </w:rPr>
        <w:tab/>
        <w:t>A patient in need of electro</w:t>
      </w:r>
      <w:r>
        <w:rPr>
          <w:rFonts w:cs="Times New Roman"/>
        </w:rPr>
        <w:noBreakHyphen/>
      </w:r>
      <w:r w:rsidRPr="00FD2824">
        <w:rPr>
          <w:rFonts w:cs="Times New Roman"/>
        </w:rPr>
        <w:t>convulsive therapy or major medical treatment must be examined by a qualified physician to determine if the patient is able to consent to electro</w:t>
      </w:r>
      <w:r>
        <w:rPr>
          <w:rFonts w:cs="Times New Roman"/>
        </w:rPr>
        <w:noBreakHyphen/>
      </w:r>
      <w:r w:rsidRPr="00FD2824">
        <w:rPr>
          <w:rFonts w:cs="Times New Roman"/>
        </w:rPr>
        <w:t>convulsive therapy or major medical treatment. Where a patient is determined unable to consent to surgery or electro</w:t>
      </w:r>
      <w:r>
        <w:rPr>
          <w:rFonts w:cs="Times New Roman"/>
        </w:rPr>
        <w:noBreakHyphen/>
      </w:r>
      <w:r w:rsidRPr="00FD2824">
        <w:rPr>
          <w:rFonts w:cs="Times New Roman"/>
        </w:rPr>
        <w:t>convulsive therapy or major medical therapy or treatment, decisions concerning the need for treatment may be made by the following persons in the following order of priority:</w:t>
      </w:r>
    </w:p>
    <w:p w14:paraId="57FC3B4F"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t>(1)</w:t>
      </w:r>
      <w:r w:rsidRPr="00FD2824">
        <w:rPr>
          <w:rFonts w:cs="Times New Roman"/>
        </w:rPr>
        <w:tab/>
        <w:t>a guardian appointed by the court pursuant to Article 5, Part 3 of the South Carolina Probate Code, if the decision is within the scope of the guardianship;</w:t>
      </w:r>
    </w:p>
    <w:p w14:paraId="027C1BA5"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t>(2)</w:t>
      </w:r>
      <w:r w:rsidRPr="00FD2824">
        <w:rPr>
          <w:rFonts w:cs="Times New Roman"/>
        </w:rPr>
        <w:tab/>
        <w:t>an attorney</w:t>
      </w:r>
      <w:r>
        <w:rPr>
          <w:rFonts w:cs="Times New Roman"/>
        </w:rPr>
        <w:noBreakHyphen/>
      </w:r>
      <w:r w:rsidRPr="00FD2824">
        <w:rPr>
          <w:rFonts w:cs="Times New Roman"/>
        </w:rPr>
        <w:t>in</w:t>
      </w:r>
      <w:r>
        <w:rPr>
          <w:rFonts w:cs="Times New Roman"/>
        </w:rPr>
        <w:noBreakHyphen/>
      </w:r>
      <w:r w:rsidRPr="00FD2824">
        <w:rPr>
          <w:rFonts w:cs="Times New Roman"/>
        </w:rPr>
        <w:t>fact appointed by the patient in a durable power of attorney executed pursuant to Section 62</w:t>
      </w:r>
      <w:r>
        <w:rPr>
          <w:rFonts w:cs="Times New Roman"/>
        </w:rPr>
        <w:noBreakHyphen/>
      </w:r>
      <w:r w:rsidRPr="00FD2824">
        <w:rPr>
          <w:rFonts w:cs="Times New Roman"/>
        </w:rPr>
        <w:t>5</w:t>
      </w:r>
      <w:r>
        <w:rPr>
          <w:rFonts w:cs="Times New Roman"/>
        </w:rPr>
        <w:noBreakHyphen/>
      </w:r>
      <w:r w:rsidRPr="00FD2824">
        <w:rPr>
          <w:rFonts w:cs="Times New Roman"/>
        </w:rPr>
        <w:t>501, if the decision is within the scope of his authority;</w:t>
      </w:r>
    </w:p>
    <w:p w14:paraId="6E3D4987"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t>(3)</w:t>
      </w:r>
      <w:r>
        <w:rPr>
          <w:rFonts w:cs="Times New Roman"/>
        </w:rPr>
        <w:tab/>
      </w:r>
      <w:r w:rsidRPr="00FD2824">
        <w:rPr>
          <w:rFonts w:cs="Times New Roman"/>
        </w:rPr>
        <w:t>a spouse of the patient unless the spouse and the patient are separated pursuant to one of the following:</w:t>
      </w:r>
    </w:p>
    <w:p w14:paraId="403AAFEA"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r>
      <w:r w:rsidRPr="00FD2824">
        <w:rPr>
          <w:rFonts w:cs="Times New Roman"/>
        </w:rPr>
        <w:tab/>
        <w:t>(a)</w:t>
      </w:r>
      <w:r w:rsidRPr="00FD2824">
        <w:rPr>
          <w:rFonts w:cs="Times New Roman"/>
        </w:rPr>
        <w:tab/>
        <w:t>entry of a pendente lite order in a divorce or separate maintenance action;</w:t>
      </w:r>
    </w:p>
    <w:p w14:paraId="267B75C2"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r>
      <w:r w:rsidRPr="00FD2824">
        <w:rPr>
          <w:rFonts w:cs="Times New Roman"/>
        </w:rPr>
        <w:tab/>
        <w:t>(b)</w:t>
      </w:r>
      <w:r w:rsidRPr="00FD2824">
        <w:rPr>
          <w:rFonts w:cs="Times New Roman"/>
        </w:rPr>
        <w:tab/>
        <w:t>formal signing of a written property or marital settlement agreement; or</w:t>
      </w:r>
    </w:p>
    <w:p w14:paraId="69614D78"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r>
      <w:r w:rsidRPr="00FD2824">
        <w:rPr>
          <w:rFonts w:cs="Times New Roman"/>
        </w:rPr>
        <w:tab/>
        <w:t>(c)</w:t>
      </w:r>
      <w:r w:rsidRPr="00FD2824">
        <w:rPr>
          <w:rFonts w:cs="Times New Roman"/>
        </w:rPr>
        <w:tab/>
        <w:t>entry of a permanent order of separate maintenance and support or of a permanent order approving a property or marital settlement agreement between the parties;</w:t>
      </w:r>
    </w:p>
    <w:p w14:paraId="54E5E50F"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r>
      <w:r w:rsidRPr="00FD2824">
        <w:rPr>
          <w:rFonts w:cs="Times New Roman"/>
          <w:color w:val="000000" w:themeColor="text1"/>
          <w:u w:color="000000" w:themeColor="text1"/>
        </w:rPr>
        <w:t>(4)</w:t>
      </w:r>
      <w:r w:rsidRPr="00FD2824">
        <w:rPr>
          <w:rFonts w:cs="Times New Roman"/>
          <w:color w:val="000000" w:themeColor="text1"/>
          <w:u w:color="000000" w:themeColor="text1"/>
        </w:rPr>
        <w:tab/>
        <w:t>an adult child of the patient, or if the patient has more than one adult child, a majority of the adult children who are reasonably available for consultation;</w:t>
      </w:r>
    </w:p>
    <w:p w14:paraId="129162F1"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lastRenderedPageBreak/>
        <w:tab/>
      </w:r>
      <w:r w:rsidRPr="00FD2824">
        <w:rPr>
          <w:rFonts w:cs="Times New Roman"/>
        </w:rPr>
        <w:tab/>
        <w:t>(5)</w:t>
      </w:r>
      <w:r w:rsidRPr="00FD2824">
        <w:rPr>
          <w:rFonts w:cs="Times New Roman"/>
        </w:rPr>
        <w:tab/>
        <w:t>a parent of the patient;</w:t>
      </w:r>
    </w:p>
    <w:p w14:paraId="6E8D8001"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r>
      <w:r w:rsidRPr="00FD2824">
        <w:rPr>
          <w:rFonts w:cs="Times New Roman"/>
        </w:rPr>
        <w:t>an adult sibling of the patient</w:t>
      </w:r>
      <w:r w:rsidRPr="00FD2824">
        <w:rPr>
          <w:rFonts w:cs="Times New Roman"/>
          <w:color w:val="000000" w:themeColor="text1"/>
          <w:u w:color="000000" w:themeColor="text1"/>
        </w:rPr>
        <w:t>, or if the patient has more than one adult sibling, a majority of the adult siblings who are reasonably available for consultation</w:t>
      </w:r>
      <w:r w:rsidRPr="00FD2824">
        <w:rPr>
          <w:rFonts w:cs="Times New Roman"/>
        </w:rPr>
        <w:t>;</w:t>
      </w:r>
    </w:p>
    <w:p w14:paraId="45749901"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t>(7)</w:t>
      </w:r>
      <w:r w:rsidRPr="00FD2824">
        <w:rPr>
          <w:rFonts w:cs="Times New Roman"/>
        </w:rPr>
        <w:tab/>
      </w:r>
      <w:r w:rsidRPr="00FD2824">
        <w:rPr>
          <w:rFonts w:cs="Times New Roman"/>
          <w:color w:val="000000" w:themeColor="text1"/>
          <w:u w:color="000000" w:themeColor="text1"/>
        </w:rPr>
        <w:t>a grandparent of the patient, or if the patient has more than one grandparent, a majority of the grandparents who are reasonably available for consultation;</w:t>
      </w:r>
    </w:p>
    <w:p w14:paraId="251E91E8"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t>(8)</w:t>
      </w:r>
      <w:r w:rsidRPr="00FD2824">
        <w:rPr>
          <w:rFonts w:cs="Times New Roman"/>
        </w:rPr>
        <w:tab/>
        <w:t>any other adult relative by blood or marriage who reasonably is believed by the health care professional to have a close personal relationship with the patient</w:t>
      </w:r>
      <w:r w:rsidRPr="00FD2824">
        <w:rPr>
          <w:rFonts w:cs="Times New Roman"/>
          <w:color w:val="000000" w:themeColor="text1"/>
          <w:u w:color="000000" w:themeColor="text1"/>
        </w:rPr>
        <w:t>, or if the patient has more than one other adult relative, a majority of those other adult relatives who are reasonably available for consultation</w:t>
      </w:r>
      <w:r w:rsidRPr="00FD2824">
        <w:rPr>
          <w:rFonts w:cs="Times New Roman"/>
        </w:rPr>
        <w:t>;</w:t>
      </w:r>
    </w:p>
    <w:p w14:paraId="20D04341"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r>
      <w:r w:rsidRPr="00FD2824">
        <w:rPr>
          <w:rFonts w:cs="Times New Roman"/>
        </w:rPr>
        <w:tab/>
        <w:t>(9)</w:t>
      </w:r>
      <w:r w:rsidRPr="00FD2824">
        <w:rPr>
          <w:rFonts w:cs="Times New Roman"/>
        </w:rPr>
        <w:tab/>
        <w:t>a person given authority to make health care decisions for the patient by another statutory provision;</w:t>
      </w:r>
    </w:p>
    <w:p w14:paraId="70B0E383"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2824">
        <w:rPr>
          <w:rFonts w:cs="Times New Roman"/>
        </w:rPr>
        <w:tab/>
      </w:r>
      <w:r w:rsidRPr="00FD2824">
        <w:rPr>
          <w:rFonts w:cs="Times New Roman"/>
        </w:rPr>
        <w:tab/>
      </w:r>
      <w:r w:rsidRPr="00FD2824">
        <w:rPr>
          <w:rFonts w:cs="Times New Roman"/>
          <w:color w:val="000000" w:themeColor="text1"/>
          <w:u w:color="000000" w:themeColor="text1"/>
        </w:rPr>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w:t>
      </w:r>
      <w:r>
        <w:rPr>
          <w:rFonts w:cs="Times New Roman"/>
          <w:color w:val="000000" w:themeColor="text1"/>
          <w:u w:color="000000" w:themeColor="text1"/>
        </w:rPr>
        <w:t>’</w:t>
      </w:r>
      <w:r w:rsidRPr="00FD2824">
        <w:rPr>
          <w:rFonts w:cs="Times New Roman"/>
          <w:color w:val="000000" w:themeColor="text1"/>
          <w:u w:color="000000" w:themeColor="text1"/>
        </w:rPr>
        <w: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w:t>
      </w:r>
      <w:r>
        <w:rPr>
          <w:rFonts w:cs="Times New Roman"/>
          <w:color w:val="000000" w:themeColor="text1"/>
          <w:u w:color="000000" w:themeColor="text1"/>
        </w:rPr>
        <w:t>’</w:t>
      </w:r>
      <w:r w:rsidRPr="00FD2824">
        <w:rPr>
          <w:rFonts w:cs="Times New Roman"/>
          <w:color w:val="000000" w:themeColor="text1"/>
          <w:u w:color="000000" w:themeColor="text1"/>
        </w:rPr>
        <w:t>s health care views and desires, and who is willing and able to become involved in the patient</w:t>
      </w:r>
      <w:r>
        <w:rPr>
          <w:rFonts w:cs="Times New Roman"/>
          <w:color w:val="000000" w:themeColor="text1"/>
          <w:u w:color="000000" w:themeColor="text1"/>
        </w:rPr>
        <w:t>’</w:t>
      </w:r>
      <w:r w:rsidRPr="00FD2824">
        <w:rPr>
          <w:rFonts w:cs="Times New Roman"/>
          <w:color w:val="000000" w:themeColor="text1"/>
          <w:u w:color="000000" w:themeColor="text1"/>
        </w:rPr>
        <w:t>s health care decisions and to act in the patient</w:t>
      </w:r>
      <w:r>
        <w:rPr>
          <w:rFonts w:cs="Times New Roman"/>
          <w:color w:val="000000" w:themeColor="text1"/>
          <w:u w:color="000000" w:themeColor="text1"/>
        </w:rPr>
        <w:t>’</w:t>
      </w:r>
      <w:r w:rsidRPr="00FD2824">
        <w:rPr>
          <w:rFonts w:cs="Times New Roman"/>
          <w:color w:val="000000" w:themeColor="text1"/>
          <w:u w:color="000000" w:themeColor="text1"/>
        </w:rPr>
        <w:t>s best interest. The person with an established relationship shall sign and date a notarized acknowledgement form, provided by the hospital or other health care facility in which the patient is located, for placement in the patient</w:t>
      </w:r>
      <w:r>
        <w:rPr>
          <w:rFonts w:cs="Times New Roman"/>
          <w:color w:val="000000" w:themeColor="text1"/>
          <w:u w:color="000000" w:themeColor="text1"/>
        </w:rPr>
        <w:t>’</w:t>
      </w:r>
      <w:r w:rsidRPr="00FD2824">
        <w:rPr>
          <w:rFonts w:cs="Times New Roman"/>
          <w:color w:val="000000" w:themeColor="text1"/>
          <w:u w:color="000000" w:themeColor="text1"/>
        </w:rPr>
        <w:t>s records, setting forth the nature and length of the relationship and certifying that he meets such criteria. Along with the notarized acknowledgment form, the hospital or other health care facility shall include in the patient</w:t>
      </w:r>
      <w:r>
        <w:rPr>
          <w:rFonts w:cs="Times New Roman"/>
          <w:color w:val="000000" w:themeColor="text1"/>
          <w:u w:color="000000" w:themeColor="text1"/>
        </w:rPr>
        <w:t>’</w:t>
      </w:r>
      <w:r w:rsidRPr="00FD2824">
        <w:rPr>
          <w:rFonts w:cs="Times New Roman"/>
          <w:color w:val="000000" w:themeColor="text1"/>
          <w:u w:color="000000" w:themeColor="text1"/>
        </w:rPr>
        <w:t>s medical record documentation of its effort to locate persons with higher priority under this statute as required by subsection (B).</w:t>
      </w:r>
    </w:p>
    <w:p w14:paraId="4D14FCB2"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color w:val="000000" w:themeColor="text1"/>
          <w:u w:color="000000" w:themeColor="text1"/>
        </w:rPr>
        <w:tab/>
        <w:t>(B)</w:t>
      </w:r>
      <w:r w:rsidRPr="00FD2824">
        <w:rPr>
          <w:rFonts w:cs="Times New Roman"/>
          <w:color w:val="000000" w:themeColor="text1"/>
          <w:u w:color="000000" w:themeColor="text1"/>
        </w:rPr>
        <w:tab/>
        <w:t>Documentation of efforts to locate a decision maker who is a person identified in subsection (A) must be recorded in the patient</w:t>
      </w:r>
      <w:r>
        <w:rPr>
          <w:rFonts w:cs="Times New Roman"/>
          <w:color w:val="000000" w:themeColor="text1"/>
          <w:u w:color="000000" w:themeColor="text1"/>
        </w:rPr>
        <w:t>’</w:t>
      </w:r>
      <w:r w:rsidRPr="00FD2824">
        <w:rPr>
          <w:rFonts w:cs="Times New Roman"/>
          <w:color w:val="000000" w:themeColor="text1"/>
          <w:u w:color="000000" w:themeColor="text1"/>
        </w:rPr>
        <w:t>s medical record.</w:t>
      </w:r>
    </w:p>
    <w:p w14:paraId="392F05EA"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t>(C)</w:t>
      </w:r>
      <w:r w:rsidRPr="00FD2824">
        <w:rPr>
          <w:rFonts w:cs="Times New Roman"/>
        </w:rPr>
        <w:tab/>
        <w:t>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14:paraId="5C02C643"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lastRenderedPageBreak/>
        <w:tab/>
        <w:t>(D)</w:t>
      </w:r>
      <w:r w:rsidRPr="00FD2824">
        <w:rPr>
          <w:rFonts w:cs="Times New Roman"/>
        </w:rPr>
        <w:tab/>
        <w:t xml:space="preserve">Priority under this section must not be given to a person if a health care provider responsible for the care of a patient who is unable to consent determines that the person is not reasonably available, is not willing to make health care decisions for the patient, or is </w:t>
      </w:r>
      <w:r w:rsidRPr="00FD2824">
        <w:rPr>
          <w:rFonts w:cs="Times New Roman"/>
          <w:color w:val="000000" w:themeColor="text1"/>
          <w:u w:color="000000" w:themeColor="text1"/>
        </w:rPr>
        <w:t>a patient</w:t>
      </w:r>
      <w:r w:rsidRPr="00FD2824">
        <w:rPr>
          <w:rFonts w:cs="Times New Roman"/>
        </w:rPr>
        <w:t xml:space="preserve"> unable to consent as defined in Section 44</w:t>
      </w:r>
      <w:r>
        <w:rPr>
          <w:rFonts w:cs="Times New Roman"/>
        </w:rPr>
        <w:noBreakHyphen/>
      </w:r>
      <w:r w:rsidRPr="00FD2824">
        <w:rPr>
          <w:rFonts w:cs="Times New Roman"/>
        </w:rPr>
        <w:t>22</w:t>
      </w:r>
      <w:r>
        <w:rPr>
          <w:rFonts w:cs="Times New Roman"/>
        </w:rPr>
        <w:noBreakHyphen/>
      </w:r>
      <w:r w:rsidRPr="00FD2824">
        <w:rPr>
          <w:rFonts w:cs="Times New Roman"/>
        </w:rPr>
        <w:t>10.</w:t>
      </w:r>
    </w:p>
    <w:p w14:paraId="717CD386"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t>(E)</w:t>
      </w:r>
      <w:r w:rsidRPr="00FD2824">
        <w:rPr>
          <w:rFonts w:cs="Times New Roman"/>
        </w:rPr>
        <w:tab/>
        <w:t>An attending physician or other health care professional responsible for the care of a patient who is unable to consent may not give priority or authority under subsection (A)(4) through (10) to a person if the attending physician or health care professional has actual knowledge that, before becoming unable to consent, the patient did not want that person involved in decisions concerning his care.</w:t>
      </w:r>
    </w:p>
    <w:p w14:paraId="5CCBBE0E"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t>(F)</w:t>
      </w:r>
      <w:r w:rsidRPr="00FD2824">
        <w:rPr>
          <w:rFonts w:cs="Times New Roman"/>
        </w:rPr>
        <w:tab/>
        <w:t>This section does not authorize a person to make health care decisions on behalf of a patient who is unable to consent if, in the opinion of the certifying physicians, the patient</w:t>
      </w:r>
      <w:r>
        <w:rPr>
          <w:rFonts w:cs="Times New Roman"/>
        </w:rPr>
        <w:t>’</w:t>
      </w:r>
      <w:r w:rsidRPr="00FD2824">
        <w:rPr>
          <w:rFonts w:cs="Times New Roman"/>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Pr>
          <w:rFonts w:cs="Times New Roman"/>
        </w:rPr>
        <w:t>’</w:t>
      </w:r>
      <w:r w:rsidRPr="00FD2824">
        <w:rPr>
          <w:rFonts w:cs="Times New Roman"/>
        </w:rPr>
        <w:t>s health.</w:t>
      </w:r>
    </w:p>
    <w:p w14:paraId="0F46FB07"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t>(G)</w:t>
      </w:r>
      <w:r w:rsidRPr="00FD2824">
        <w:rPr>
          <w:rFonts w:cs="Times New Roman"/>
        </w:rPr>
        <w:tab/>
        <w:t xml:space="preserve">This section does not affect the application of the Adult Health Care Consent Act, </w:t>
      </w:r>
      <w:r w:rsidRPr="00FD2824">
        <w:rPr>
          <w:rFonts w:cs="Times New Roman"/>
          <w:color w:val="000000" w:themeColor="text1"/>
          <w:u w:color="000000" w:themeColor="text1"/>
        </w:rPr>
        <w:t>Chapter 66, Title 44</w:t>
      </w:r>
      <w:r w:rsidRPr="00FD2824">
        <w:rPr>
          <w:rFonts w:cs="Times New Roman"/>
        </w:rPr>
        <w:t>, to a patient in need of health care.”</w:t>
      </w:r>
    </w:p>
    <w:p w14:paraId="3118EA26"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3DB8CE5"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Authorization of treatment and medication</w:t>
      </w:r>
    </w:p>
    <w:p w14:paraId="38B905E8" w14:textId="77777777" w:rsidR="0091545A" w:rsidRPr="0090715C"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2D247185"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SECTION</w:t>
      </w:r>
      <w:r w:rsidRPr="00FD2824">
        <w:rPr>
          <w:rFonts w:cs="Times New Roman"/>
        </w:rPr>
        <w:tab/>
        <w:t>2.</w:t>
      </w:r>
      <w:r w:rsidRPr="00FD2824">
        <w:rPr>
          <w:rFonts w:cs="Times New Roman"/>
        </w:rPr>
        <w:tab/>
        <w:t>Section 44</w:t>
      </w:r>
      <w:r>
        <w:rPr>
          <w:rFonts w:cs="Times New Roman"/>
        </w:rPr>
        <w:noBreakHyphen/>
      </w:r>
      <w:r w:rsidRPr="00FD2824">
        <w:rPr>
          <w:rFonts w:cs="Times New Roman"/>
        </w:rPr>
        <w:t>22</w:t>
      </w:r>
      <w:r>
        <w:rPr>
          <w:rFonts w:cs="Times New Roman"/>
        </w:rPr>
        <w:noBreakHyphen/>
      </w:r>
      <w:r w:rsidRPr="00FD2824">
        <w:rPr>
          <w:rFonts w:cs="Times New Roman"/>
        </w:rPr>
        <w:t>140(A) of the 1976 Code is amended to read:</w:t>
      </w:r>
    </w:p>
    <w:p w14:paraId="6A23C5CB"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967EBB6"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ab/>
        <w:t>“(A)</w:t>
      </w:r>
      <w:r w:rsidRPr="00FD2824">
        <w:rPr>
          <w:rFonts w:cs="Times New Roman"/>
        </w:rPr>
        <w:tab/>
        <w:t>The attending physician, the physician on call, or the authorized health care provider, is responsible for and shall authorize medications and treatment given or administered to a patient. The physician</w:t>
      </w:r>
      <w:r>
        <w:rPr>
          <w:rFonts w:cs="Times New Roman"/>
        </w:rPr>
        <w:t>’</w:t>
      </w:r>
      <w:r w:rsidRPr="00FD2824">
        <w:rPr>
          <w:rFonts w:cs="Times New Roman"/>
        </w:rPr>
        <w:t>s or authorized health care provider</w:t>
      </w:r>
      <w:r>
        <w:rPr>
          <w:rFonts w:cs="Times New Roman"/>
        </w:rPr>
        <w:t>’</w:t>
      </w:r>
      <w:r w:rsidRPr="00FD2824">
        <w:rPr>
          <w:rFonts w:cs="Times New Roman"/>
        </w:rPr>
        <w:t>s authorization and the medical reasons for it must be entered into the patient</w:t>
      </w:r>
      <w:r>
        <w:rPr>
          <w:rFonts w:cs="Times New Roman"/>
        </w:rPr>
        <w:t>’</w:t>
      </w:r>
      <w:r w:rsidRPr="00FD2824">
        <w:rPr>
          <w:rFonts w:cs="Times New Roman"/>
        </w:rPr>
        <w:t>s clinical record. The authorization is not valid for more than ninety days. Medication must not be used as punishment, for the convenience of staff, or as a substitute to or in quantities that interfere with the patient</w:t>
      </w:r>
      <w:r>
        <w:rPr>
          <w:rFonts w:cs="Times New Roman"/>
        </w:rPr>
        <w:t>’</w:t>
      </w:r>
      <w:r w:rsidRPr="00FD2824">
        <w:rPr>
          <w:rFonts w:cs="Times New Roman"/>
        </w:rPr>
        <w:t>s treatment program. The patient or his legal guardian may refuse treatment not recognized as standard psychiatric treatment. He may refuse electro</w:t>
      </w:r>
      <w:r>
        <w:rPr>
          <w:rFonts w:cs="Times New Roman"/>
        </w:rPr>
        <w:noBreakHyphen/>
      </w:r>
      <w:r w:rsidRPr="00FD2824">
        <w:rPr>
          <w:rFonts w:cs="Times New Roman"/>
        </w:rPr>
        <w:t>convulsive therapy, aversive reinforcement conditioning, or other unusual or hazardous treatment procedures. If the attending physician or the physician on call decides electro</w:t>
      </w:r>
      <w:r>
        <w:rPr>
          <w:rFonts w:cs="Times New Roman"/>
        </w:rPr>
        <w:noBreakHyphen/>
      </w:r>
      <w:r w:rsidRPr="00FD2824">
        <w:rPr>
          <w:rFonts w:cs="Times New Roman"/>
        </w:rPr>
        <w:t>convulsive therapy is necessary and a statement of the reasons for electro</w:t>
      </w:r>
      <w:r>
        <w:rPr>
          <w:rFonts w:cs="Times New Roman"/>
        </w:rPr>
        <w:noBreakHyphen/>
      </w:r>
      <w:r w:rsidRPr="00FD2824">
        <w:rPr>
          <w:rFonts w:cs="Times New Roman"/>
        </w:rPr>
        <w:t xml:space="preserve">convulsive therapy is entered in the treatment record of a patient who is considered unable to consent pursuant to Section </w:t>
      </w:r>
      <w:r w:rsidRPr="00FD2824">
        <w:rPr>
          <w:rFonts w:cs="Times New Roman"/>
        </w:rPr>
        <w:lastRenderedPageBreak/>
        <w:t>44</w:t>
      </w:r>
      <w:r>
        <w:rPr>
          <w:rFonts w:cs="Times New Roman"/>
        </w:rPr>
        <w:noBreakHyphen/>
      </w:r>
      <w:r w:rsidRPr="00FD2824">
        <w:rPr>
          <w:rFonts w:cs="Times New Roman"/>
        </w:rPr>
        <w:t>22</w:t>
      </w:r>
      <w:r>
        <w:rPr>
          <w:rFonts w:cs="Times New Roman"/>
        </w:rPr>
        <w:noBreakHyphen/>
      </w:r>
      <w:r w:rsidRPr="00FD2824">
        <w:rPr>
          <w:rFonts w:cs="Times New Roman"/>
        </w:rPr>
        <w:t>10, permission for the treatment may be given in writing by the persons in order of priority specified in Section 44</w:t>
      </w:r>
      <w:r>
        <w:rPr>
          <w:rFonts w:cs="Times New Roman"/>
        </w:rPr>
        <w:noBreakHyphen/>
      </w:r>
      <w:r w:rsidRPr="00FD2824">
        <w:rPr>
          <w:rFonts w:cs="Times New Roman"/>
        </w:rPr>
        <w:t>22</w:t>
      </w:r>
      <w:r>
        <w:rPr>
          <w:rFonts w:cs="Times New Roman"/>
        </w:rPr>
        <w:noBreakHyphen/>
      </w:r>
      <w:r w:rsidRPr="00FD2824">
        <w:rPr>
          <w:rFonts w:cs="Times New Roman"/>
        </w:rPr>
        <w:t>40(A)(1</w:t>
      </w:r>
      <w:r>
        <w:rPr>
          <w:rFonts w:cs="Times New Roman"/>
        </w:rPr>
        <w:noBreakHyphen/>
      </w:r>
      <w:r w:rsidRPr="00FD2824">
        <w:rPr>
          <w:rFonts w:cs="Times New Roman"/>
        </w:rPr>
        <w:t>10).”</w:t>
      </w:r>
    </w:p>
    <w:p w14:paraId="22CAA5B2"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3436BD0"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5C8BF5B5" w14:textId="77777777" w:rsidR="0091545A" w:rsidRPr="0090715C"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005E1738" w14:textId="77777777" w:rsidR="0091545A" w:rsidRPr="00FD2824"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824">
        <w:rPr>
          <w:rFonts w:cs="Times New Roman"/>
        </w:rPr>
        <w:t>SECTION</w:t>
      </w:r>
      <w:r w:rsidRPr="00FD2824">
        <w:rPr>
          <w:rFonts w:cs="Times New Roman"/>
        </w:rPr>
        <w:tab/>
        <w:t>3.</w:t>
      </w:r>
      <w:r w:rsidRPr="00FD2824">
        <w:rPr>
          <w:rFonts w:cs="Times New Roman"/>
        </w:rPr>
        <w:tab/>
        <w:t>This act takes effect upon approval by the Governor.</w:t>
      </w:r>
    </w:p>
    <w:p w14:paraId="34AD797D"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E1A8873" w14:textId="77777777" w:rsidR="0091545A" w:rsidRDefault="0091545A"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5AF19C69" w14:textId="77777777" w:rsidR="0091545A" w:rsidRDefault="0091545A" w:rsidP="0091545A">
      <w:pPr>
        <w:jc w:val="both"/>
        <w:rPr>
          <w:color w:val="000000" w:themeColor="text1"/>
        </w:rPr>
      </w:pPr>
    </w:p>
    <w:p w14:paraId="020A5312" w14:textId="77777777" w:rsidR="0091545A" w:rsidRDefault="0091545A" w:rsidP="0091545A">
      <w:pPr>
        <w:jc w:val="both"/>
        <w:rPr>
          <w:color w:val="000000" w:themeColor="text1"/>
        </w:rPr>
      </w:pPr>
      <w:r>
        <w:rPr>
          <w:color w:val="000000" w:themeColor="text1"/>
        </w:rPr>
        <w:t>Approved the 16</w:t>
      </w:r>
      <w:r w:rsidRPr="00363ED9">
        <w:rPr>
          <w:color w:val="000000" w:themeColor="text1"/>
          <w:vertAlign w:val="superscript"/>
        </w:rPr>
        <w:t>th</w:t>
      </w:r>
      <w:r>
        <w:rPr>
          <w:color w:val="000000" w:themeColor="text1"/>
        </w:rPr>
        <w:t xml:space="preserve"> day of May, 2022. </w:t>
      </w:r>
    </w:p>
    <w:p w14:paraId="612194BB" w14:textId="77777777" w:rsidR="0091545A" w:rsidRDefault="0091545A" w:rsidP="0091545A">
      <w:pPr>
        <w:jc w:val="center"/>
        <w:rPr>
          <w:color w:val="000000" w:themeColor="text1"/>
        </w:rPr>
      </w:pPr>
    </w:p>
    <w:p w14:paraId="6053B6CE" w14:textId="77777777" w:rsidR="0091545A" w:rsidRDefault="0091545A" w:rsidP="0091545A">
      <w:pPr>
        <w:jc w:val="center"/>
        <w:rPr>
          <w:color w:val="000000" w:themeColor="text1"/>
        </w:rPr>
      </w:pPr>
      <w:r>
        <w:rPr>
          <w:color w:val="000000" w:themeColor="text1"/>
        </w:rPr>
        <w:t>__________</w:t>
      </w:r>
    </w:p>
    <w:p w14:paraId="0A14C0A4" w14:textId="77777777" w:rsidR="00B236DB" w:rsidRPr="0017345A" w:rsidRDefault="00B236DB" w:rsidP="0091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236DB" w:rsidRPr="0017345A" w:rsidSect="00B236D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A5BD5" w14:textId="77777777" w:rsidR="00002A22" w:rsidRDefault="00002A22" w:rsidP="007D5FAC">
      <w:r>
        <w:separator/>
      </w:r>
    </w:p>
  </w:endnote>
  <w:endnote w:type="continuationSeparator" w:id="0">
    <w:p w14:paraId="32ECC9FF" w14:textId="77777777" w:rsidR="00002A22" w:rsidRDefault="00002A2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D9DC" w14:textId="561CCD95" w:rsidR="00B236DB" w:rsidRPr="00B236DB" w:rsidRDefault="00B236DB" w:rsidP="00B236D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46F8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8B52" w14:textId="77777777" w:rsidR="00B236DB" w:rsidRDefault="00B2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81102" w14:textId="77777777" w:rsidR="00002A22" w:rsidRDefault="00002A22" w:rsidP="007D5FAC">
      <w:r>
        <w:separator/>
      </w:r>
    </w:p>
  </w:footnote>
  <w:footnote w:type="continuationSeparator" w:id="0">
    <w:p w14:paraId="204B520A" w14:textId="77777777" w:rsidR="00002A22" w:rsidRDefault="00002A2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600"/>
    <w:docVar w:name="ActSecretary" w:val="Thurmond"/>
    <w:docVar w:name="ActSIdno" w:val="(189)  4600VR22"/>
    <w:docVar w:name="clipname" w:val="4600VR22"/>
    <w:docVar w:name="dvBillNumber" w:val="4600"/>
    <w:docVar w:name="dvBillNumberPrefix" w:val="H"/>
    <w:docVar w:name="dvOriginalBody" w:val="House"/>
    <w:docVar w:name="HOUSEACTFULLPATH" w:val="L:\COUNCIL\ACTS\4600VR22.DOCX"/>
    <w:docVar w:name="OrigHOUSEBillNo" w:val="4600"/>
    <w:docVar w:name="WhatActtype" w:val="AN ACT"/>
  </w:docVars>
  <w:rsids>
    <w:rsidRoot w:val="00002A22"/>
    <w:rsid w:val="00002A22"/>
    <w:rsid w:val="00002DE0"/>
    <w:rsid w:val="000140DA"/>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345A"/>
    <w:rsid w:val="001747A9"/>
    <w:rsid w:val="00174C43"/>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231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C89"/>
    <w:rsid w:val="004E6C25"/>
    <w:rsid w:val="004E747B"/>
    <w:rsid w:val="004E7E53"/>
    <w:rsid w:val="004F0258"/>
    <w:rsid w:val="004F0E6F"/>
    <w:rsid w:val="004F4494"/>
    <w:rsid w:val="004F4608"/>
    <w:rsid w:val="004F5867"/>
    <w:rsid w:val="004F6446"/>
    <w:rsid w:val="0050191D"/>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6A96"/>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519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3B40"/>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0BE"/>
    <w:rsid w:val="007469F9"/>
    <w:rsid w:val="00746F8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11BA"/>
    <w:rsid w:val="008B2051"/>
    <w:rsid w:val="008B347C"/>
    <w:rsid w:val="008B48BD"/>
    <w:rsid w:val="008C325E"/>
    <w:rsid w:val="008E03BA"/>
    <w:rsid w:val="008E5FD7"/>
    <w:rsid w:val="008F4CA1"/>
    <w:rsid w:val="008F510F"/>
    <w:rsid w:val="008F5F0A"/>
    <w:rsid w:val="008F7D5B"/>
    <w:rsid w:val="00900319"/>
    <w:rsid w:val="00906538"/>
    <w:rsid w:val="0090715C"/>
    <w:rsid w:val="009076FA"/>
    <w:rsid w:val="0091545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2836"/>
    <w:rsid w:val="00A03978"/>
    <w:rsid w:val="00A050C0"/>
    <w:rsid w:val="00A05608"/>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36DB"/>
    <w:rsid w:val="00B303AC"/>
    <w:rsid w:val="00B3152A"/>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E4D13"/>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E17"/>
    <w:rsid w:val="00C748CB"/>
    <w:rsid w:val="00C74E9D"/>
    <w:rsid w:val="00C81812"/>
    <w:rsid w:val="00C837F6"/>
    <w:rsid w:val="00C92B7D"/>
    <w:rsid w:val="00C94E59"/>
    <w:rsid w:val="00C97CB8"/>
    <w:rsid w:val="00CA4CD7"/>
    <w:rsid w:val="00CA5358"/>
    <w:rsid w:val="00CA7497"/>
    <w:rsid w:val="00CB08A1"/>
    <w:rsid w:val="00CB12FE"/>
    <w:rsid w:val="00CC15ED"/>
    <w:rsid w:val="00CC2825"/>
    <w:rsid w:val="00CC71D8"/>
    <w:rsid w:val="00CD77D2"/>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29B"/>
    <w:rsid w:val="00D3443A"/>
    <w:rsid w:val="00D35DD4"/>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09A1"/>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505B"/>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295D3C"/>
  <w15:docId w15:val="{EC2FD6CE-3655-4C2C-89A2-FCBA5459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236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56A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236D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46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1.docx" TargetMode="External"/><Relationship Id="rId13" Type="http://schemas.openxmlformats.org/officeDocument/2006/relationships/hyperlink" Target="file:///h:\sj\20220223.docx" TargetMode="External"/><Relationship Id="rId18" Type="http://schemas.openxmlformats.org/officeDocument/2006/relationships/hyperlink" Target="file:///h:\sj\2022050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21-22\4600_20211117.docx" TargetMode="External"/><Relationship Id="rId7" Type="http://schemas.openxmlformats.org/officeDocument/2006/relationships/hyperlink" Target="file:///h:\hj\20220111.docx" TargetMode="External"/><Relationship Id="rId12" Type="http://schemas.openxmlformats.org/officeDocument/2006/relationships/hyperlink" Target="file:///h:\hj\20220223.docx" TargetMode="External"/><Relationship Id="rId17" Type="http://schemas.openxmlformats.org/officeDocument/2006/relationships/hyperlink" Target="file:///h:\sj\2022050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http://www.scstatehouse.gov/billsearch.php?billnumbers=4600&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22.docx" TargetMode="External"/><Relationship Id="rId24" Type="http://schemas.openxmlformats.org/officeDocument/2006/relationships/hyperlink" Target="file:///p:\pprever\2021-22\4600_20220421.docx" TargetMode="External"/><Relationship Id="rId5" Type="http://schemas.openxmlformats.org/officeDocument/2006/relationships/footnotes" Target="footnotes.xml"/><Relationship Id="rId15" Type="http://schemas.openxmlformats.org/officeDocument/2006/relationships/hyperlink" Target="file:///h:\sj\20220421.docx" TargetMode="External"/><Relationship Id="rId23" Type="http://schemas.openxmlformats.org/officeDocument/2006/relationships/hyperlink" Target="file:///p:\pprever\2021-22\4600_20220218.docx" TargetMode="External"/><Relationship Id="rId28" Type="http://schemas.openxmlformats.org/officeDocument/2006/relationships/theme" Target="theme/theme1.xml"/><Relationship Id="rId10" Type="http://schemas.openxmlformats.org/officeDocument/2006/relationships/hyperlink" Target="file:///h:\hj\20220222.docx" TargetMode="External"/><Relationship Id="rId19" Type="http://schemas.openxmlformats.org/officeDocument/2006/relationships/hyperlink" Target="file:///h:\sj\20220512.docx" TargetMode="External"/><Relationship Id="rId4" Type="http://schemas.openxmlformats.org/officeDocument/2006/relationships/webSettings" Target="webSettings.xml"/><Relationship Id="rId9" Type="http://schemas.openxmlformats.org/officeDocument/2006/relationships/hyperlink" Target="file:///h:\hj\20220217.docx" TargetMode="External"/><Relationship Id="rId14" Type="http://schemas.openxmlformats.org/officeDocument/2006/relationships/hyperlink" Target="file:///h:\sj\20220223.docx" TargetMode="External"/><Relationship Id="rId22" Type="http://schemas.openxmlformats.org/officeDocument/2006/relationships/hyperlink" Target="file:///p:\pprever\2021-22\4600_2022021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049E6-363E-4B09-8708-5150BE85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4600: Electro-convulsive therapy, third-party consent - South Carolina Legislature Online</dc:title>
  <dc:subject/>
  <dc:creator>Gwen Thurmond</dc:creator>
  <cp:keywords/>
  <dc:description/>
  <cp:lastModifiedBy>Danny Crook</cp:lastModifiedBy>
  <cp:revision>2</cp:revision>
  <cp:lastPrinted>2022-05-05T13:39:00Z</cp:lastPrinted>
  <dcterms:created xsi:type="dcterms:W3CDTF">2022-06-10T20:08:00Z</dcterms:created>
  <dcterms:modified xsi:type="dcterms:W3CDTF">2022-06-10T20:08:00Z</dcterms:modified>
</cp:coreProperties>
</file>