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3EC" w:rsidRDefault="005E23EC" w:rsidP="005E23EC">
      <w:pPr>
        <w:widowControl w:val="0"/>
        <w:jc w:val="center"/>
      </w:pPr>
      <w:r w:rsidRPr="005E23EC">
        <w:rPr>
          <w:b/>
        </w:rPr>
        <w:t>South Carolina General Assembly</w:t>
      </w:r>
    </w:p>
    <w:p w:rsidR="005E23EC" w:rsidRDefault="005E23EC" w:rsidP="005E23EC">
      <w:pPr>
        <w:widowControl w:val="0"/>
        <w:jc w:val="center"/>
      </w:pPr>
      <w:r>
        <w:t>124th Session, 2021-2022</w:t>
      </w:r>
    </w:p>
    <w:p w:rsidR="005E23EC" w:rsidRDefault="005E23EC" w:rsidP="005E23EC">
      <w:pPr>
        <w:widowControl w:val="0"/>
        <w:jc w:val="left"/>
      </w:pPr>
    </w:p>
    <w:p w:rsidR="005E23EC" w:rsidRDefault="005E23EC" w:rsidP="005E23EC">
      <w:pPr>
        <w:widowControl w:val="0"/>
        <w:jc w:val="left"/>
        <w:rPr>
          <w:b/>
        </w:rPr>
      </w:pPr>
      <w:r w:rsidRPr="005E23EC">
        <w:rPr>
          <w:b/>
        </w:rPr>
        <w:t>H. 4620</w:t>
      </w:r>
    </w:p>
    <w:p w:rsidR="005E23EC" w:rsidRDefault="005E23EC" w:rsidP="005E23EC">
      <w:pPr>
        <w:widowControl w:val="0"/>
        <w:jc w:val="left"/>
        <w:rPr>
          <w:b/>
        </w:rPr>
      </w:pPr>
    </w:p>
    <w:p w:rsidR="005E23EC" w:rsidRDefault="005E23EC" w:rsidP="005E23EC">
      <w:pPr>
        <w:widowControl w:val="0"/>
        <w:jc w:val="left"/>
      </w:pPr>
      <w:r w:rsidRPr="005E23EC">
        <w:rPr>
          <w:b/>
        </w:rPr>
        <w:t>STATUS INFORMATION</w:t>
      </w:r>
    </w:p>
    <w:p w:rsidR="005E23EC" w:rsidRDefault="005E23EC" w:rsidP="005E23EC">
      <w:pPr>
        <w:widowControl w:val="0"/>
        <w:jc w:val="left"/>
      </w:pPr>
    </w:p>
    <w:p w:rsidR="005E23EC" w:rsidRDefault="005E23EC" w:rsidP="005E23EC">
      <w:pPr>
        <w:widowControl w:val="0"/>
        <w:jc w:val="left"/>
      </w:pPr>
      <w:r>
        <w:t>General Bill</w:t>
      </w:r>
    </w:p>
    <w:p w:rsidR="005E23EC" w:rsidRDefault="007312EA" w:rsidP="005E23EC">
      <w:pPr>
        <w:widowControl w:val="0"/>
        <w:jc w:val="left"/>
      </w:pPr>
      <w:r>
        <w:t>Sponsors: Reps. W. Newton, Erickson, Bradley, Herbkersman, Wooten, Forrest, G.R. Smith, Bustos, M.M. Smith, Taylor, Gilliam, Hiott, Hixon, Blackwell, Oremus, Gagnon, McCabe, Morgan, Huggins and Davis</w:t>
      </w:r>
    </w:p>
    <w:p w:rsidR="005E23EC" w:rsidRDefault="005E23EC" w:rsidP="005E23EC">
      <w:pPr>
        <w:widowControl w:val="0"/>
        <w:jc w:val="left"/>
      </w:pPr>
      <w:r>
        <w:t>Document Path: l:\council\bills\cc\16096zw22.docx</w:t>
      </w:r>
    </w:p>
    <w:p w:rsidR="00D7144F" w:rsidRDefault="00D7144F" w:rsidP="005E23EC">
      <w:pPr>
        <w:widowControl w:val="0"/>
        <w:jc w:val="left"/>
      </w:pPr>
      <w:r>
        <w:t>Companion/Similar bill(s): 898</w:t>
      </w:r>
    </w:p>
    <w:p w:rsidR="005E23EC" w:rsidRDefault="005E23EC" w:rsidP="005E23EC">
      <w:pPr>
        <w:widowControl w:val="0"/>
        <w:jc w:val="left"/>
      </w:pPr>
    </w:p>
    <w:p w:rsidR="00D03551" w:rsidRDefault="00D03551" w:rsidP="005E23EC">
      <w:pPr>
        <w:widowControl w:val="0"/>
        <w:jc w:val="left"/>
      </w:pPr>
      <w:r>
        <w:t>Introduced in the House on January 11, 2022</w:t>
      </w:r>
    </w:p>
    <w:p w:rsidR="00D03551" w:rsidRPr="00D03551" w:rsidRDefault="00D03551" w:rsidP="005E23EC">
      <w:pPr>
        <w:widowControl w:val="0"/>
        <w:jc w:val="left"/>
      </w:pPr>
      <w:r>
        <w:t xml:space="preserve">Currently residing in the House Committee on </w:t>
      </w:r>
      <w:r w:rsidRPr="00D03551">
        <w:rPr>
          <w:b/>
        </w:rPr>
        <w:t>Judiciary</w:t>
      </w:r>
    </w:p>
    <w:p w:rsidR="00D03551" w:rsidRDefault="00D03551" w:rsidP="005E23EC">
      <w:pPr>
        <w:widowControl w:val="0"/>
        <w:jc w:val="left"/>
      </w:pPr>
    </w:p>
    <w:p w:rsidR="005E23EC" w:rsidRDefault="005E23EC" w:rsidP="005E23EC">
      <w:pPr>
        <w:widowControl w:val="0"/>
        <w:jc w:val="left"/>
      </w:pPr>
      <w:r>
        <w:t>Summary: Elections</w:t>
      </w:r>
    </w:p>
    <w:p w:rsidR="005E23EC" w:rsidRDefault="005E23EC" w:rsidP="005E23EC">
      <w:pPr>
        <w:widowControl w:val="0"/>
        <w:jc w:val="left"/>
      </w:pPr>
    </w:p>
    <w:p w:rsidR="005E23EC" w:rsidRDefault="005E23EC" w:rsidP="005E23EC">
      <w:pPr>
        <w:widowControl w:val="0"/>
        <w:jc w:val="left"/>
      </w:pPr>
    </w:p>
    <w:p w:rsidR="005E23EC" w:rsidRDefault="005E23EC" w:rsidP="005E23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23EC">
        <w:rPr>
          <w:b/>
        </w:rPr>
        <w:t>HISTORY OF LEGISLATIVE ACTIONS</w:t>
      </w:r>
    </w:p>
    <w:p w:rsidR="005E23EC" w:rsidRDefault="005E23EC" w:rsidP="005E23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23EC" w:rsidRPr="005E23EC" w:rsidRDefault="005E23EC" w:rsidP="005E23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23EC">
        <w:rPr>
          <w:u w:val="single"/>
        </w:rPr>
        <w:tab/>
        <w:t>Date</w:t>
      </w:r>
      <w:r w:rsidRPr="005E23EC">
        <w:rPr>
          <w:u w:val="single"/>
        </w:rPr>
        <w:tab/>
        <w:t>Body</w:t>
      </w:r>
      <w:r w:rsidRPr="005E23EC">
        <w:rPr>
          <w:u w:val="single"/>
        </w:rPr>
        <w:tab/>
        <w:t>Action Description with journal page number</w:t>
      </w:r>
      <w:r w:rsidRPr="005E23EC">
        <w:rPr>
          <w:u w:val="single"/>
        </w:rPr>
        <w:tab/>
      </w:r>
    </w:p>
    <w:p w:rsidR="007312EA" w:rsidRDefault="007312EA" w:rsidP="00731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7312EA" w:rsidRDefault="007312EA" w:rsidP="00731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48508D">
        <w:rPr>
          <w:b/>
        </w:rPr>
        <w:t>Judiciary</w:t>
      </w:r>
    </w:p>
    <w:p w:rsidR="007312EA" w:rsidRDefault="007312EA" w:rsidP="00731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48508D">
          <w:rPr>
            <w:rStyle w:val="Hyperlink"/>
          </w:rPr>
          <w:t>House Journal</w:t>
        </w:r>
        <w:r w:rsidRPr="0048508D">
          <w:rPr>
            <w:rStyle w:val="Hyperlink"/>
          </w:rPr>
          <w:noBreakHyphen/>
          <w:t>page 71</w:t>
        </w:r>
      </w:hyperlink>
      <w:r>
        <w:t>)</w:t>
      </w:r>
    </w:p>
    <w:p w:rsidR="007312EA" w:rsidRDefault="007312EA" w:rsidP="00731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48508D">
        <w:rPr>
          <w:b/>
        </w:rPr>
        <w:t>Judiciary</w:t>
      </w:r>
      <w:r>
        <w:t xml:space="preserve"> (</w:t>
      </w:r>
      <w:hyperlink r:id="rId8" w:history="1">
        <w:r w:rsidRPr="0048508D">
          <w:rPr>
            <w:rStyle w:val="Hyperlink"/>
          </w:rPr>
          <w:t>House Journal</w:t>
        </w:r>
        <w:r w:rsidRPr="0048508D">
          <w:rPr>
            <w:rStyle w:val="Hyperlink"/>
          </w:rPr>
          <w:noBreakHyphen/>
          <w:t>page 71</w:t>
        </w:r>
      </w:hyperlink>
      <w:r>
        <w:t>)</w:t>
      </w:r>
    </w:p>
    <w:p w:rsidR="007312EA" w:rsidRDefault="007312EA" w:rsidP="00731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Member(s) request name added as sponsor: Gilliam</w:t>
      </w:r>
    </w:p>
    <w:p w:rsidR="007312EA" w:rsidRDefault="007312EA" w:rsidP="00731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Member(s) request name added as sponsor: Hiott, Hixon, Blackwell, Oremus, Gagnon, McCabe, Morgan, Huggins</w:t>
      </w:r>
    </w:p>
    <w:p w:rsidR="007312EA" w:rsidRDefault="007312EA" w:rsidP="00731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>Member(s) request name added as sponsor: Davis</w:t>
      </w:r>
    </w:p>
    <w:p w:rsidR="007312EA" w:rsidRDefault="007312EA" w:rsidP="00731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23EC" w:rsidRDefault="005E23EC" w:rsidP="005E23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23EC">
          <w:rPr>
            <w:rStyle w:val="Hyperlink"/>
          </w:rPr>
          <w:t>legislative information</w:t>
        </w:r>
      </w:hyperlink>
      <w:r>
        <w:t xml:space="preserve"> at the website</w:t>
      </w:r>
    </w:p>
    <w:p w:rsidR="005E23EC" w:rsidRDefault="005E23EC" w:rsidP="005E23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23EC" w:rsidRPr="005E23EC" w:rsidRDefault="005E23EC" w:rsidP="005E23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23EC" w:rsidRDefault="005E23EC" w:rsidP="005E23EC">
      <w:pPr>
        <w:widowControl w:val="0"/>
        <w:jc w:val="left"/>
      </w:pPr>
      <w:r w:rsidRPr="005E23EC">
        <w:rPr>
          <w:b/>
        </w:rPr>
        <w:t>VERSIONS OF THIS BILL</w:t>
      </w:r>
    </w:p>
    <w:p w:rsidR="005E23EC" w:rsidRDefault="005E23EC" w:rsidP="005E23EC">
      <w:pPr>
        <w:widowControl w:val="0"/>
        <w:jc w:val="left"/>
      </w:pPr>
    </w:p>
    <w:p w:rsidR="005E23EC" w:rsidRDefault="00846B7A" w:rsidP="005E23EC">
      <w:pPr>
        <w:widowControl w:val="0"/>
        <w:jc w:val="left"/>
      </w:pPr>
      <w:hyperlink r:id="rId10" w:history="1">
        <w:r w:rsidR="005E23EC">
          <w:rPr>
            <w:rStyle w:val="Hyperlink"/>
          </w:rPr>
          <w:t>11/17/2021</w:t>
        </w:r>
      </w:hyperlink>
    </w:p>
    <w:p w:rsidR="005E23EC" w:rsidRDefault="005E23EC" w:rsidP="005E23EC"/>
    <w:p w:rsidR="005E23EC" w:rsidRDefault="005E23EC" w:rsidP="005E23EC">
      <w:pPr>
        <w:sectPr w:rsidR="005E23EC" w:rsidSect="005E23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2FD3" w:rsidRDefault="00B62FD3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2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2A7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4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771E1">
        <w:rPr>
          <w:color w:val="000000" w:themeColor="text1"/>
          <w:u w:color="000000" w:themeColor="text1"/>
        </w:rPr>
        <w:t>TO AMEND SECTION 7</w:t>
      </w:r>
      <w:r w:rsidR="00563BB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1</w:t>
      </w:r>
      <w:r w:rsidR="00563BB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25, CODE OF LAWS OF SOUTH CAROLINA, 1976, RELATING TO THE DEFINITION OF “DOMICILE”, SO AS TO CLARIFY CIRCUMSTANCES UNDER WHICH A PERSON IS DEEMED TO HAVE CHANGED HIS DOMICILE FOR VOTING PURPOSES, AND TO REVISE THE FACTORS USED TO DETERMINE A PERSON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 xml:space="preserve">S INTENTION REGARDING HIS DOMICILE.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A73" w:rsidRDefault="00712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2A73" w:rsidRDefault="00712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C9D" w:rsidRPr="007771E1" w:rsidRDefault="00712A73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74C9D" w:rsidRPr="007771E1">
        <w:rPr>
          <w:color w:val="000000" w:themeColor="text1"/>
          <w:u w:color="000000" w:themeColor="text1"/>
        </w:rPr>
        <w:t>Section 7</w:t>
      </w:r>
      <w:r w:rsidR="00563BB9">
        <w:rPr>
          <w:color w:val="000000" w:themeColor="text1"/>
          <w:u w:color="000000" w:themeColor="text1"/>
        </w:rPr>
        <w:noBreakHyphen/>
      </w:r>
      <w:r w:rsidR="00074C9D" w:rsidRPr="007771E1">
        <w:rPr>
          <w:color w:val="000000" w:themeColor="text1"/>
          <w:u w:color="000000" w:themeColor="text1"/>
        </w:rPr>
        <w:t>1</w:t>
      </w:r>
      <w:r w:rsidR="00563BB9">
        <w:rPr>
          <w:color w:val="000000" w:themeColor="text1"/>
          <w:u w:color="000000" w:themeColor="text1"/>
        </w:rPr>
        <w:noBreakHyphen/>
      </w:r>
      <w:r w:rsidR="00074C9D" w:rsidRPr="007771E1">
        <w:rPr>
          <w:color w:val="000000" w:themeColor="text1"/>
          <w:u w:color="000000" w:themeColor="text1"/>
        </w:rPr>
        <w:t>25 of the 1976 Code is amended to read: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“Section 7</w:t>
      </w:r>
      <w:r w:rsidR="00563BB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1</w:t>
      </w:r>
      <w:r w:rsidR="00563BB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25.</w:t>
      </w:r>
      <w:r w:rsidRPr="007771E1">
        <w:rPr>
          <w:color w:val="000000" w:themeColor="text1"/>
          <w:u w:color="000000" w:themeColor="text1"/>
        </w:rPr>
        <w:tab/>
        <w:t>(A)</w:t>
      </w:r>
      <w:r w:rsidRPr="007771E1">
        <w:rPr>
          <w:color w:val="000000" w:themeColor="text1"/>
          <w:u w:color="000000" w:themeColor="text1"/>
        </w:rPr>
        <w:tab/>
        <w:t>A person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resid</w:t>
      </w:r>
      <w:r w:rsidR="009F4D3F">
        <w:rPr>
          <w:color w:val="000000" w:themeColor="text1"/>
          <w:u w:color="000000" w:themeColor="text1"/>
        </w:rPr>
        <w:t xml:space="preserve">ence is his domicile. </w:t>
      </w:r>
      <w:r w:rsidR="00563BB9">
        <w:rPr>
          <w:color w:val="000000" w:themeColor="text1"/>
          <w:u w:color="000000" w:themeColor="text1"/>
        </w:rPr>
        <w:t>‘</w:t>
      </w:r>
      <w:r w:rsidR="009F4D3F">
        <w:rPr>
          <w:color w:val="000000" w:themeColor="text1"/>
          <w:u w:color="000000" w:themeColor="text1"/>
        </w:rPr>
        <w:t>Domicile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 xml:space="preserve"> means a person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fixed home where he has an intention of returning when he is absent. A person has only one domicile.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(B)</w:t>
      </w:r>
      <w:r w:rsidRPr="007771E1">
        <w:rPr>
          <w:color w:val="000000" w:themeColor="text1"/>
          <w:u w:val="single" w:color="000000" w:themeColor="text1"/>
        </w:rPr>
        <w:t>(1)</w:t>
      </w:r>
      <w:r w:rsidRPr="007771E1">
        <w:rPr>
          <w:color w:val="000000" w:themeColor="text1"/>
          <w:u w:color="000000" w:themeColor="text1"/>
        </w:rPr>
        <w:tab/>
        <w:t>For voting purposes, a person has changed his domicile if he</w:t>
      </w:r>
      <w:r w:rsidRPr="007771E1">
        <w:rPr>
          <w:color w:val="000000" w:themeColor="text1"/>
          <w:u w:val="single" w:color="000000" w:themeColor="text1"/>
        </w:rPr>
        <w:t>: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(1)</w:t>
      </w:r>
      <w:r w:rsidRPr="007771E1">
        <w:rPr>
          <w:color w:val="000000" w:themeColor="text1"/>
          <w:u w:val="single" w:color="000000" w:themeColor="text1"/>
        </w:rPr>
        <w:t>(a)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has abandoned his prior home</w:t>
      </w:r>
      <w:r w:rsidRPr="007771E1">
        <w:rPr>
          <w:color w:val="000000" w:themeColor="text1"/>
          <w:u w:val="single" w:color="000000" w:themeColor="text1"/>
        </w:rPr>
        <w:t>;</w:t>
      </w:r>
      <w:r w:rsidRPr="007771E1">
        <w:rPr>
          <w:color w:val="000000" w:themeColor="text1"/>
          <w:u w:color="000000" w:themeColor="text1"/>
        </w:rPr>
        <w:t xml:space="preserve"> and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(2)</w:t>
      </w:r>
      <w:r w:rsidRPr="007771E1">
        <w:rPr>
          <w:color w:val="000000" w:themeColor="text1"/>
          <w:u w:val="single" w:color="000000" w:themeColor="text1"/>
        </w:rPr>
        <w:t>(b)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has established a new home, has a present intention to make that place his home, and has no present intention to leave that place.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>(2)</w:t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 xml:space="preserve">For voting purposes, a person also has changed his domicile if he enters another state, or another county or municipality within this </w:t>
      </w:r>
      <w:r w:rsidR="009F4D3F">
        <w:rPr>
          <w:color w:val="000000" w:themeColor="text1"/>
          <w:u w:val="single" w:color="000000" w:themeColor="text1"/>
        </w:rPr>
        <w:t>S</w:t>
      </w:r>
      <w:r w:rsidRPr="007771E1">
        <w:rPr>
          <w:color w:val="000000" w:themeColor="text1"/>
          <w:u w:val="single" w:color="000000" w:themeColor="text1"/>
        </w:rPr>
        <w:t>tate, and while there exercises the right of a citizen by voting.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(C)</w:t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>A person who leaves his home for temporary purposes only with the intention of returning and enters another state, or another coun</w:t>
      </w:r>
      <w:r w:rsidR="009F4D3F">
        <w:rPr>
          <w:color w:val="000000" w:themeColor="text1"/>
          <w:u w:val="single" w:color="000000" w:themeColor="text1"/>
        </w:rPr>
        <w:t>ty or municipality within this S</w:t>
      </w:r>
      <w:r w:rsidRPr="007771E1">
        <w:rPr>
          <w:color w:val="000000" w:themeColor="text1"/>
          <w:u w:val="single" w:color="000000" w:themeColor="text1"/>
        </w:rPr>
        <w:t>tate, is not considered to have changed his domicile unless the person registers to vote or performs other acts indicating a desire to change his domicile.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lastRenderedPageBreak/>
        <w:tab/>
      </w:r>
      <w:r w:rsidRPr="007771E1">
        <w:rPr>
          <w:color w:val="000000" w:themeColor="text1"/>
          <w:u w:val="single" w:color="000000" w:themeColor="text1"/>
        </w:rPr>
        <w:t>(D)</w:t>
      </w:r>
      <w:r w:rsidRPr="007771E1">
        <w:rPr>
          <w:color w:val="000000" w:themeColor="text1"/>
          <w:u w:color="000000" w:themeColor="text1"/>
        </w:rPr>
        <w:tab/>
        <w:t>For voting purposes, a spouse may establish a separate domicile.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(D)</w:t>
      </w:r>
      <w:r w:rsidRPr="007771E1">
        <w:rPr>
          <w:color w:val="000000" w:themeColor="text1"/>
          <w:u w:val="single" w:color="000000" w:themeColor="text1"/>
        </w:rPr>
        <w:t>(E)</w:t>
      </w:r>
      <w:r w:rsidRPr="007771E1">
        <w:rPr>
          <w:color w:val="000000" w:themeColor="text1"/>
          <w:u w:color="000000" w:themeColor="text1"/>
        </w:rPr>
        <w:tab/>
        <w:t>For voting purposes, factors to consider in determining a person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intention regarding his domicile include, but are not limited to:</w:t>
      </w:r>
    </w:p>
    <w:p w:rsidR="00074C9D" w:rsidRPr="007771E1" w:rsidRDefault="003511C6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74C9D"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="00074C9D" w:rsidRPr="007771E1">
        <w:rPr>
          <w:color w:val="000000" w:themeColor="text1"/>
          <w:u w:color="000000" w:themeColor="text1"/>
        </w:rPr>
        <w:t>s address reported on income tax returns;</w:t>
      </w:r>
    </w:p>
    <w:p w:rsidR="00074C9D" w:rsidRPr="007771E1" w:rsidRDefault="003511C6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74C9D"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="00074C9D" w:rsidRPr="007771E1">
        <w:rPr>
          <w:color w:val="000000" w:themeColor="text1"/>
          <w:u w:color="000000" w:themeColor="text1"/>
        </w:rPr>
        <w:t>s real estate interests, including the address for which the legal residence tax assessment ratio is claimed pursuant to Section 12</w:t>
      </w:r>
      <w:r w:rsidR="00563BB9">
        <w:rPr>
          <w:color w:val="000000" w:themeColor="text1"/>
          <w:u w:color="000000" w:themeColor="text1"/>
        </w:rPr>
        <w:noBreakHyphen/>
      </w:r>
      <w:r w:rsidR="00074C9D" w:rsidRPr="007771E1">
        <w:rPr>
          <w:color w:val="000000" w:themeColor="text1"/>
          <w:u w:color="000000" w:themeColor="text1"/>
        </w:rPr>
        <w:t>43</w:t>
      </w:r>
      <w:r w:rsidR="00563BB9">
        <w:rPr>
          <w:color w:val="000000" w:themeColor="text1"/>
          <w:u w:color="000000" w:themeColor="text1"/>
        </w:rPr>
        <w:noBreakHyphen/>
      </w:r>
      <w:r w:rsidR="00074C9D" w:rsidRPr="007771E1">
        <w:rPr>
          <w:color w:val="000000" w:themeColor="text1"/>
          <w:u w:color="000000" w:themeColor="text1"/>
        </w:rPr>
        <w:t>220(C);</w:t>
      </w:r>
    </w:p>
    <w:p w:rsidR="00074C9D" w:rsidRPr="007771E1" w:rsidRDefault="003511C6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074C9D"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="00074C9D" w:rsidRPr="007771E1">
        <w:rPr>
          <w:color w:val="000000" w:themeColor="text1"/>
          <w:u w:color="000000" w:themeColor="text1"/>
        </w:rPr>
        <w:t>s physical mailing address;</w:t>
      </w:r>
    </w:p>
    <w:p w:rsidR="00074C9D" w:rsidRPr="007771E1" w:rsidRDefault="003511C6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074C9D"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="00074C9D" w:rsidRPr="007771E1">
        <w:rPr>
          <w:color w:val="000000" w:themeColor="text1"/>
          <w:u w:color="000000" w:themeColor="text1"/>
        </w:rPr>
        <w:t>s address on driver</w:t>
      </w:r>
      <w:r w:rsidR="00563BB9">
        <w:rPr>
          <w:color w:val="000000" w:themeColor="text1"/>
          <w:u w:color="000000" w:themeColor="text1"/>
        </w:rPr>
        <w:t>’</w:t>
      </w:r>
      <w:r w:rsidR="00074C9D" w:rsidRPr="007771E1">
        <w:rPr>
          <w:color w:val="000000" w:themeColor="text1"/>
          <w:u w:color="000000" w:themeColor="text1"/>
        </w:rPr>
        <w:t>s license or other identification issued by the Department of Motor Vehicles;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  <w:t>(5)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a voter</w:t>
      </w:r>
      <w:r w:rsidR="00563BB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address on legal and financial documents;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(6)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utilized for educational purposes, such as public school assignment and determination of tuition at institutions of higher education;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(7)</w:t>
      </w:r>
      <w:r w:rsidRPr="007771E1">
        <w:rPr>
          <w:color w:val="000000" w:themeColor="text1"/>
          <w:u w:val="single" w:color="000000" w:themeColor="text1"/>
        </w:rPr>
        <w:t>(6)</w:t>
      </w:r>
      <w:r w:rsidR="00AC65B7" w:rsidRPr="00AC65B7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on an automobile registration;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(8)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a voter</w:t>
      </w:r>
      <w:r w:rsidR="00563BB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address utilized for membership in clubs and organizations;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(9)</w:t>
      </w:r>
      <w:r w:rsidRPr="007771E1">
        <w:rPr>
          <w:color w:val="000000" w:themeColor="text1"/>
          <w:u w:val="single" w:color="000000" w:themeColor="text1"/>
        </w:rPr>
        <w:t>(7)</w:t>
      </w:r>
      <w:r w:rsidR="00AC65B7" w:rsidRPr="00AC65B7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the location of a voter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personal property;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(10)</w:t>
      </w:r>
      <w:r w:rsidRPr="007771E1">
        <w:rPr>
          <w:color w:val="000000" w:themeColor="text1"/>
          <w:u w:val="single" w:color="000000" w:themeColor="text1"/>
        </w:rPr>
        <w:t>(8)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residence of a voter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parents, spouse, and children</w:t>
      </w:r>
      <w:r w:rsidRPr="00AC1C10">
        <w:rPr>
          <w:strike/>
          <w:color w:val="000000" w:themeColor="text1"/>
          <w:u w:color="000000" w:themeColor="text1"/>
        </w:rPr>
        <w:t>; and</w:t>
      </w:r>
    </w:p>
    <w:p w:rsidR="00712A73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(11)whether a voter temporarily relocated due to medical care for the voter or for a member of the voter</w:t>
      </w:r>
      <w:r w:rsidR="00563BB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immediate family</w:t>
      </w:r>
      <w:r w:rsidRPr="007771E1">
        <w:rPr>
          <w:color w:val="000000" w:themeColor="text1"/>
          <w:u w:color="000000" w:themeColor="text1"/>
        </w:rPr>
        <w:t>.”</w:t>
      </w:r>
    </w:p>
    <w:p w:rsidR="00712A73" w:rsidRDefault="00712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A73" w:rsidRDefault="00712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74C9D">
        <w:t>2</w:t>
      </w:r>
      <w:r>
        <w:t>.</w:t>
      </w:r>
      <w:r>
        <w:tab/>
        <w:t>This act takes effect upon approval by the Governor.</w:t>
      </w:r>
    </w:p>
    <w:p w:rsidR="001044A8" w:rsidRDefault="00563BB9" w:rsidP="00A30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23EC" w:rsidRDefault="005E23EC" w:rsidP="005E23EC">
      <w:pPr>
        <w:suppressAutoHyphens/>
      </w:pPr>
    </w:p>
    <w:sectPr w:rsidR="005E23EC" w:rsidSect="005E23E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A73" w:rsidRDefault="00712A73" w:rsidP="009F0C77">
      <w:r>
        <w:separator/>
      </w:r>
    </w:p>
  </w:endnote>
  <w:endnote w:type="continuationSeparator" w:id="0">
    <w:p w:rsidR="00712A73" w:rsidRDefault="00712A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EE770A-030D-4536-9DC0-9A4BF59F714B}"/>
    <w:embedBold r:id="rId2" w:fontKey="{370CDAA9-82BE-44C7-B5E9-CC696B2D35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F0ABE71-BB66-41EE-83B2-DB2FDE8C0D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12F30F-9232-46B2-B4A9-DBD8EFAF50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625734-1612-44CD-A7D6-40541011AA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3EC" w:rsidRPr="00B62FD3" w:rsidRDefault="005E23EC" w:rsidP="00B62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12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A73" w:rsidRDefault="00712A73" w:rsidP="009F0C77">
      <w:r>
        <w:separator/>
      </w:r>
    </w:p>
  </w:footnote>
  <w:footnote w:type="continuationSeparator" w:id="0">
    <w:p w:rsidR="00712A73" w:rsidRDefault="00712A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96ZW22"/>
    <w:docVar w:name="CoverBillType" w:val="b"/>
    <w:docVar w:name="DocPath" w:val="L:\Council\bills\CC\16096ZW22.DOCX"/>
    <w:docVar w:name="dvBillNumber" w:val="462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712A73"/>
    <w:rsid w:val="00011869"/>
    <w:rsid w:val="00015CD6"/>
    <w:rsid w:val="00074C9D"/>
    <w:rsid w:val="000E0100"/>
    <w:rsid w:val="000E1785"/>
    <w:rsid w:val="000F40FA"/>
    <w:rsid w:val="001035F1"/>
    <w:rsid w:val="001044A8"/>
    <w:rsid w:val="0010776B"/>
    <w:rsid w:val="00126973"/>
    <w:rsid w:val="00133E66"/>
    <w:rsid w:val="001435A3"/>
    <w:rsid w:val="00146ED3"/>
    <w:rsid w:val="00151044"/>
    <w:rsid w:val="00184E7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3BC9"/>
    <w:rsid w:val="002E5912"/>
    <w:rsid w:val="00301B21"/>
    <w:rsid w:val="00315B32"/>
    <w:rsid w:val="00325348"/>
    <w:rsid w:val="0032732C"/>
    <w:rsid w:val="00336AD0"/>
    <w:rsid w:val="00345781"/>
    <w:rsid w:val="003511C6"/>
    <w:rsid w:val="003610AA"/>
    <w:rsid w:val="0037079A"/>
    <w:rsid w:val="003C22E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746"/>
    <w:rsid w:val="004C6F80"/>
    <w:rsid w:val="004D02C5"/>
    <w:rsid w:val="004E7D54"/>
    <w:rsid w:val="00512182"/>
    <w:rsid w:val="005273C6"/>
    <w:rsid w:val="00530A69"/>
    <w:rsid w:val="005429D2"/>
    <w:rsid w:val="00545593"/>
    <w:rsid w:val="00556EBF"/>
    <w:rsid w:val="00563BB9"/>
    <w:rsid w:val="00577C6C"/>
    <w:rsid w:val="005A62FE"/>
    <w:rsid w:val="005C2FE2"/>
    <w:rsid w:val="005E23EC"/>
    <w:rsid w:val="005E2BC9"/>
    <w:rsid w:val="00605102"/>
    <w:rsid w:val="006215AA"/>
    <w:rsid w:val="006439C1"/>
    <w:rsid w:val="00664D1D"/>
    <w:rsid w:val="006913C9"/>
    <w:rsid w:val="0069470D"/>
    <w:rsid w:val="006965CD"/>
    <w:rsid w:val="006D58AA"/>
    <w:rsid w:val="006F1224"/>
    <w:rsid w:val="00712A73"/>
    <w:rsid w:val="007312EA"/>
    <w:rsid w:val="00734F00"/>
    <w:rsid w:val="00736959"/>
    <w:rsid w:val="00776BC3"/>
    <w:rsid w:val="007A70AE"/>
    <w:rsid w:val="007C36BF"/>
    <w:rsid w:val="007C67F7"/>
    <w:rsid w:val="007E63CE"/>
    <w:rsid w:val="008362E8"/>
    <w:rsid w:val="0085786E"/>
    <w:rsid w:val="008A1768"/>
    <w:rsid w:val="008A489F"/>
    <w:rsid w:val="008F0F33"/>
    <w:rsid w:val="008F4429"/>
    <w:rsid w:val="00913C69"/>
    <w:rsid w:val="00917A0B"/>
    <w:rsid w:val="0094021A"/>
    <w:rsid w:val="009B44AF"/>
    <w:rsid w:val="009C6A0B"/>
    <w:rsid w:val="009F0C77"/>
    <w:rsid w:val="009F4D3F"/>
    <w:rsid w:val="009F4DD1"/>
    <w:rsid w:val="00A02543"/>
    <w:rsid w:val="00A21D08"/>
    <w:rsid w:val="00A300BD"/>
    <w:rsid w:val="00A41684"/>
    <w:rsid w:val="00A64E80"/>
    <w:rsid w:val="00A72BCD"/>
    <w:rsid w:val="00A741D9"/>
    <w:rsid w:val="00A833AB"/>
    <w:rsid w:val="00A9741D"/>
    <w:rsid w:val="00AC1C10"/>
    <w:rsid w:val="00AC34A2"/>
    <w:rsid w:val="00AC65B7"/>
    <w:rsid w:val="00AD1C9A"/>
    <w:rsid w:val="00AD4B17"/>
    <w:rsid w:val="00B412D4"/>
    <w:rsid w:val="00B62FD3"/>
    <w:rsid w:val="00B64FFF"/>
    <w:rsid w:val="00BE3C22"/>
    <w:rsid w:val="00C0345E"/>
    <w:rsid w:val="00C21ABE"/>
    <w:rsid w:val="00C31C95"/>
    <w:rsid w:val="00C3483A"/>
    <w:rsid w:val="00C51000"/>
    <w:rsid w:val="00C67C41"/>
    <w:rsid w:val="00C74E9D"/>
    <w:rsid w:val="00C826DD"/>
    <w:rsid w:val="00C82FD3"/>
    <w:rsid w:val="00C92819"/>
    <w:rsid w:val="00CC6B7B"/>
    <w:rsid w:val="00CD2089"/>
    <w:rsid w:val="00D03551"/>
    <w:rsid w:val="00D7144F"/>
    <w:rsid w:val="00D7283D"/>
    <w:rsid w:val="00D73A67"/>
    <w:rsid w:val="00D970A9"/>
    <w:rsid w:val="00DF3845"/>
    <w:rsid w:val="00E41911"/>
    <w:rsid w:val="00E44B57"/>
    <w:rsid w:val="00E92EEF"/>
    <w:rsid w:val="00EB6DF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FB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A3E549-37A8-42D3-9494-7335125C7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7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7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23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620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2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200EC-3BEA-4B95-9378-492B2FCB3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3452</Characters>
  <Application>Microsoft Office Word</Application>
  <DocSecurity>0</DocSecurity>
  <Lines>104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4620: Subject not yet available - South Carolina Legislature Online</dc:title>
  <dc:creator>Chris Charlton</dc:creator>
  <cp:lastModifiedBy>S Wilson</cp:lastModifiedBy>
  <cp:revision>2</cp:revision>
  <cp:lastPrinted>2021-11-17T16:38:00Z</cp:lastPrinted>
  <dcterms:created xsi:type="dcterms:W3CDTF">2022-02-02T16:25:00Z</dcterms:created>
  <dcterms:modified xsi:type="dcterms:W3CDTF">2022-02-02T16:25:00Z</dcterms:modified>
</cp:coreProperties>
</file>