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6F56">
        <w:rPr>
          <w:rFonts w:eastAsia="Times New Roman" w:cs="Times New Roman"/>
          <w:b/>
          <w:szCs w:val="20"/>
        </w:rPr>
        <w:t>South Carolina General Assembly</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6F56">
        <w:rPr>
          <w:rFonts w:eastAsia="Times New Roman" w:cs="Times New Roman"/>
          <w:szCs w:val="20"/>
        </w:rPr>
        <w:t>124th Session, 2021-2022</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F56" w:rsidRPr="00FD6F56" w:rsidRDefault="009522F4"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A202, R228, H5075</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b/>
          <w:szCs w:val="20"/>
        </w:rPr>
        <w:t>STATUS INFORMATION</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szCs w:val="20"/>
        </w:rPr>
        <w:t>General Bill</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szCs w:val="20"/>
        </w:rPr>
        <w:t>Sponsors: Reps. G.M. Smith and West</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szCs w:val="20"/>
        </w:rPr>
        <w:t>Document Path: l:\council\bills\nbd\11339dg22.docx</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szCs w:val="20"/>
        </w:rPr>
        <w:t>Companion/Similar bill(s): 1120</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6C09" w:rsidRDefault="001E6C09"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2022</w:t>
      </w:r>
    </w:p>
    <w:p w:rsidR="001E6C09" w:rsidRDefault="001E6C09"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1E6C09" w:rsidRDefault="001E6C09"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1E6C09" w:rsidRDefault="001E6C09"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rsidR="001E6C09" w:rsidRDefault="001E6C09"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1E6C09" w:rsidRDefault="001E6C09"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szCs w:val="20"/>
        </w:rPr>
        <w:t>Summary: Housing tax credit</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F56" w:rsidRPr="00FD6F56" w:rsidRDefault="00FD6F56" w:rsidP="00FD6F56">
      <w:pPr>
        <w:widowControl w:val="0"/>
        <w:tabs>
          <w:tab w:val="center" w:pos="590"/>
          <w:tab w:val="center" w:pos="1440"/>
          <w:tab w:val="left" w:pos="1872"/>
          <w:tab w:val="left" w:pos="9187"/>
        </w:tabs>
        <w:rPr>
          <w:rFonts w:eastAsia="Times New Roman" w:cs="Times New Roman"/>
          <w:szCs w:val="20"/>
        </w:rPr>
      </w:pPr>
      <w:r w:rsidRPr="00FD6F56">
        <w:rPr>
          <w:rFonts w:eastAsia="Times New Roman" w:cs="Times New Roman"/>
          <w:b/>
          <w:szCs w:val="20"/>
        </w:rPr>
        <w:t>HISTORY OF LEGISLATIVE ACTIONS</w:t>
      </w:r>
    </w:p>
    <w:p w:rsidR="00FD6F56" w:rsidRPr="00FD6F56" w:rsidRDefault="00FD6F56" w:rsidP="00FD6F56">
      <w:pPr>
        <w:widowControl w:val="0"/>
        <w:tabs>
          <w:tab w:val="center" w:pos="590"/>
          <w:tab w:val="center" w:pos="1440"/>
          <w:tab w:val="left" w:pos="1872"/>
          <w:tab w:val="left" w:pos="9187"/>
        </w:tabs>
        <w:rPr>
          <w:rFonts w:eastAsia="Times New Roman" w:cs="Times New Roman"/>
          <w:szCs w:val="20"/>
        </w:rPr>
      </w:pPr>
    </w:p>
    <w:p w:rsidR="00FD6F56" w:rsidRPr="00FD6F56" w:rsidRDefault="00FD6F56" w:rsidP="00FD6F56">
      <w:pPr>
        <w:widowControl w:val="0"/>
        <w:tabs>
          <w:tab w:val="center" w:pos="590"/>
          <w:tab w:val="center" w:pos="1440"/>
          <w:tab w:val="left" w:pos="1872"/>
          <w:tab w:val="left" w:pos="9187"/>
        </w:tabs>
        <w:rPr>
          <w:rFonts w:eastAsia="Times New Roman" w:cs="Times New Roman"/>
          <w:szCs w:val="20"/>
        </w:rPr>
      </w:pPr>
      <w:r w:rsidRPr="00FD6F56">
        <w:rPr>
          <w:rFonts w:eastAsia="Times New Roman" w:cs="Times New Roman"/>
          <w:szCs w:val="20"/>
          <w:u w:val="single"/>
        </w:rPr>
        <w:tab/>
        <w:t>Date</w:t>
      </w:r>
      <w:r w:rsidRPr="00FD6F56">
        <w:rPr>
          <w:rFonts w:eastAsia="Times New Roman" w:cs="Times New Roman"/>
          <w:szCs w:val="20"/>
          <w:u w:val="single"/>
        </w:rPr>
        <w:tab/>
        <w:t>Body</w:t>
      </w:r>
      <w:r w:rsidRPr="00FD6F56">
        <w:rPr>
          <w:rFonts w:eastAsia="Times New Roman" w:cs="Times New Roman"/>
          <w:szCs w:val="20"/>
          <w:u w:val="single"/>
        </w:rPr>
        <w:tab/>
        <w:t>Action Description with journal page number</w:t>
      </w:r>
      <w:r w:rsidRPr="00FD6F56">
        <w:rPr>
          <w:rFonts w:eastAsia="Times New Roman" w:cs="Times New Roman"/>
          <w:szCs w:val="20"/>
          <w:u w:val="single"/>
        </w:rPr>
        <w:tab/>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Introduced and read first time (</w:t>
      </w:r>
      <w:hyperlink r:id="rId7" w:history="1">
        <w:r w:rsidRPr="009357AC">
          <w:rPr>
            <w:rStyle w:val="Hyperlink"/>
            <w:rFonts w:cs="Times New Roman"/>
          </w:rPr>
          <w:t>House Journal</w:t>
        </w:r>
        <w:r w:rsidRPr="009357AC">
          <w:rPr>
            <w:rStyle w:val="Hyperlink"/>
            <w:rFonts w:cs="Times New Roman"/>
          </w:rPr>
          <w:noBreakHyphen/>
          <w:t>page 23</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 xml:space="preserve">Referred to Committee on </w:t>
      </w:r>
      <w:r w:rsidRPr="009357AC">
        <w:rPr>
          <w:rFonts w:cs="Times New Roman"/>
          <w:b/>
        </w:rPr>
        <w:t>Ways and Means</w:t>
      </w:r>
      <w:r>
        <w:rPr>
          <w:rFonts w:cs="Times New Roman"/>
        </w:rPr>
        <w:t xml:space="preserve"> (</w:t>
      </w:r>
      <w:hyperlink r:id="rId8" w:history="1">
        <w:r w:rsidRPr="009357AC">
          <w:rPr>
            <w:rStyle w:val="Hyperlink"/>
            <w:rFonts w:cs="Times New Roman"/>
          </w:rPr>
          <w:t>House Journal</w:t>
        </w:r>
        <w:r w:rsidRPr="009357AC">
          <w:rPr>
            <w:rStyle w:val="Hyperlink"/>
            <w:rFonts w:cs="Times New Roman"/>
          </w:rPr>
          <w:noBreakHyphen/>
          <w:t>page 23</w:t>
        </w:r>
      </w:hyperlink>
      <w:bookmarkStart w:id="0" w:name="_GoBack"/>
      <w:bookmarkEnd w:id="0"/>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with amendment </w:t>
      </w:r>
      <w:r w:rsidRPr="009357AC">
        <w:rPr>
          <w:rFonts w:cs="Times New Roman"/>
          <w:b/>
        </w:rPr>
        <w:t>Ways and Means</w:t>
      </w:r>
      <w:r>
        <w:rPr>
          <w:rFonts w:cs="Times New Roman"/>
        </w:rPr>
        <w:t xml:space="preserve"> (</w:t>
      </w:r>
      <w:hyperlink r:id="rId9" w:history="1">
        <w:r w:rsidRPr="009357AC">
          <w:rPr>
            <w:rStyle w:val="Hyperlink"/>
            <w:rFonts w:cs="Times New Roman"/>
          </w:rPr>
          <w:t>House Journal</w:t>
        </w:r>
        <w:r w:rsidRPr="009357AC">
          <w:rPr>
            <w:rStyle w:val="Hyperlink"/>
            <w:rFonts w:cs="Times New Roman"/>
          </w:rPr>
          <w:noBreakHyphen/>
          <w:t>page 31</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Member(s) request name added as sponsor: West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r>
      <w:r>
        <w:rPr>
          <w:rFonts w:cs="Times New Roman"/>
        </w:rPr>
        <w:tab/>
        <w:t>Scrivener's error corrected</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0" w:history="1">
        <w:r w:rsidRPr="009357AC">
          <w:rPr>
            <w:rStyle w:val="Hyperlink"/>
            <w:rFonts w:cs="Times New Roman"/>
          </w:rPr>
          <w:t>House Journal</w:t>
        </w:r>
        <w:r w:rsidRPr="009357AC">
          <w:rPr>
            <w:rStyle w:val="Hyperlink"/>
            <w:rFonts w:cs="Times New Roman"/>
          </w:rPr>
          <w:noBreakHyphen/>
          <w:t>page 77</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1" w:history="1">
        <w:r w:rsidRPr="009357AC">
          <w:rPr>
            <w:rStyle w:val="Hyperlink"/>
            <w:rFonts w:cs="Times New Roman"/>
          </w:rPr>
          <w:t>House Journal</w:t>
        </w:r>
        <w:r w:rsidRPr="009357AC">
          <w:rPr>
            <w:rStyle w:val="Hyperlink"/>
            <w:rFonts w:cs="Times New Roman"/>
          </w:rPr>
          <w:noBreakHyphen/>
          <w:t>page 77</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99  Nays</w:t>
      </w:r>
      <w:r>
        <w:rPr>
          <w:rFonts w:cs="Times New Roman"/>
        </w:rPr>
        <w:noBreakHyphen/>
        <w:t>5 (</w:t>
      </w:r>
      <w:hyperlink r:id="rId12" w:history="1">
        <w:r w:rsidRPr="009357AC">
          <w:rPr>
            <w:rStyle w:val="Hyperlink"/>
            <w:rFonts w:cs="Times New Roman"/>
          </w:rPr>
          <w:t>House Journal</w:t>
        </w:r>
        <w:r w:rsidRPr="009357AC">
          <w:rPr>
            <w:rStyle w:val="Hyperlink"/>
            <w:rFonts w:cs="Times New Roman"/>
          </w:rPr>
          <w:noBreakHyphen/>
          <w:t>page 85</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3" w:history="1">
        <w:r w:rsidRPr="009357AC">
          <w:rPr>
            <w:rStyle w:val="Hyperlink"/>
            <w:rFonts w:cs="Times New Roman"/>
          </w:rPr>
          <w:t>Senate Journal</w:t>
        </w:r>
        <w:r w:rsidRPr="009357AC">
          <w:rPr>
            <w:rStyle w:val="Hyperlink"/>
            <w:rFonts w:cs="Times New Roman"/>
          </w:rPr>
          <w:noBreakHyphen/>
          <w:t>page 11</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9357AC">
        <w:rPr>
          <w:rFonts w:cs="Times New Roman"/>
          <w:b/>
        </w:rPr>
        <w:t>Finance</w:t>
      </w:r>
      <w:r>
        <w:rPr>
          <w:rFonts w:cs="Times New Roman"/>
        </w:rPr>
        <w:t xml:space="preserve"> (</w:t>
      </w:r>
      <w:hyperlink r:id="rId14" w:history="1">
        <w:r w:rsidRPr="009357AC">
          <w:rPr>
            <w:rStyle w:val="Hyperlink"/>
            <w:rFonts w:cs="Times New Roman"/>
          </w:rPr>
          <w:t>Senate Journal</w:t>
        </w:r>
        <w:r w:rsidRPr="009357AC">
          <w:rPr>
            <w:rStyle w:val="Hyperlink"/>
            <w:rFonts w:cs="Times New Roman"/>
          </w:rPr>
          <w:noBreakHyphen/>
          <w:t>page 11</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Scrivener's error corrected</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 xml:space="preserve">Recalled from Committee on </w:t>
      </w:r>
      <w:r w:rsidRPr="009357AC">
        <w:rPr>
          <w:rFonts w:cs="Times New Roman"/>
          <w:b/>
        </w:rPr>
        <w:t>Finance</w:t>
      </w:r>
      <w:r>
        <w:rPr>
          <w:rFonts w:cs="Times New Roman"/>
        </w:rPr>
        <w:t xml:space="preserve"> (</w:t>
      </w:r>
      <w:hyperlink r:id="rId15" w:history="1">
        <w:r w:rsidRPr="009357AC">
          <w:rPr>
            <w:rStyle w:val="Hyperlink"/>
            <w:rFonts w:cs="Times New Roman"/>
          </w:rPr>
          <w:t>Senate Journal</w:t>
        </w:r>
        <w:r w:rsidRPr="009357AC">
          <w:rPr>
            <w:rStyle w:val="Hyperlink"/>
            <w:rFonts w:cs="Times New Roman"/>
          </w:rPr>
          <w:noBreakHyphen/>
          <w:t>page 6</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4/13/2022</w:t>
      </w:r>
      <w:r>
        <w:rPr>
          <w:rFonts w:cs="Times New Roman"/>
        </w:rPr>
        <w:tab/>
      </w:r>
      <w:r>
        <w:rPr>
          <w:rFonts w:cs="Times New Roman"/>
        </w:rPr>
        <w:tab/>
        <w:t>Scrivener's error corrected</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Amended (</w:t>
      </w:r>
      <w:hyperlink r:id="rId16" w:history="1">
        <w:r w:rsidRPr="009357AC">
          <w:rPr>
            <w:rStyle w:val="Hyperlink"/>
            <w:rFonts w:cs="Times New Roman"/>
          </w:rPr>
          <w:t>Senate Journal</w:t>
        </w:r>
        <w:r w:rsidRPr="009357AC">
          <w:rPr>
            <w:rStyle w:val="Hyperlink"/>
            <w:rFonts w:cs="Times New Roman"/>
          </w:rPr>
          <w:noBreakHyphen/>
          <w:t>page 32</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Read second time (</w:t>
      </w:r>
      <w:hyperlink r:id="rId17" w:history="1">
        <w:r w:rsidRPr="009357AC">
          <w:rPr>
            <w:rStyle w:val="Hyperlink"/>
            <w:rFonts w:cs="Times New Roman"/>
          </w:rPr>
          <w:t>Senate Journal</w:t>
        </w:r>
        <w:r w:rsidRPr="009357AC">
          <w:rPr>
            <w:rStyle w:val="Hyperlink"/>
            <w:rFonts w:cs="Times New Roman"/>
          </w:rPr>
          <w:noBreakHyphen/>
          <w:t>page 32</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9357AC">
          <w:rPr>
            <w:rStyle w:val="Hyperlink"/>
            <w:rFonts w:cs="Times New Roman"/>
          </w:rPr>
          <w:t>Senate Journal</w:t>
        </w:r>
        <w:r w:rsidRPr="009357AC">
          <w:rPr>
            <w:rStyle w:val="Hyperlink"/>
            <w:rFonts w:cs="Times New Roman"/>
          </w:rPr>
          <w:noBreakHyphen/>
          <w:t>page 32</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Read third time and returned to House with amendments (</w:t>
      </w:r>
      <w:hyperlink r:id="rId19" w:history="1">
        <w:r w:rsidRPr="009357AC">
          <w:rPr>
            <w:rStyle w:val="Hyperlink"/>
            <w:rFonts w:cs="Times New Roman"/>
          </w:rPr>
          <w:t>Senate Journal</w:t>
        </w:r>
        <w:r w:rsidRPr="009357AC">
          <w:rPr>
            <w:rStyle w:val="Hyperlink"/>
            <w:rFonts w:cs="Times New Roman"/>
          </w:rPr>
          <w:noBreakHyphen/>
          <w:t>page 8</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Scrivener's error corrected</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Debate adjourned (</w:t>
      </w:r>
      <w:hyperlink r:id="rId20" w:history="1">
        <w:r w:rsidRPr="009357AC">
          <w:rPr>
            <w:rStyle w:val="Hyperlink"/>
            <w:rFonts w:cs="Times New Roman"/>
          </w:rPr>
          <w:t>House Journal</w:t>
        </w:r>
        <w:r w:rsidRPr="009357AC">
          <w:rPr>
            <w:rStyle w:val="Hyperlink"/>
            <w:rFonts w:cs="Times New Roman"/>
          </w:rPr>
          <w:noBreakHyphen/>
          <w:t>page 33</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Senate amendment amended (</w:t>
      </w:r>
      <w:hyperlink r:id="rId21" w:history="1">
        <w:r w:rsidRPr="009357AC">
          <w:rPr>
            <w:rStyle w:val="Hyperlink"/>
            <w:rFonts w:cs="Times New Roman"/>
          </w:rPr>
          <w:t>House Journal</w:t>
        </w:r>
        <w:r w:rsidRPr="009357AC">
          <w:rPr>
            <w:rStyle w:val="Hyperlink"/>
            <w:rFonts w:cs="Times New Roman"/>
          </w:rPr>
          <w:noBreakHyphen/>
          <w:t>page 52</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106  Nays</w:t>
      </w:r>
      <w:r>
        <w:rPr>
          <w:rFonts w:cs="Times New Roman"/>
        </w:rPr>
        <w:noBreakHyphen/>
        <w:t>3 (</w:t>
      </w:r>
      <w:hyperlink r:id="rId22" w:history="1">
        <w:r w:rsidRPr="009357AC">
          <w:rPr>
            <w:rStyle w:val="Hyperlink"/>
            <w:rFonts w:cs="Times New Roman"/>
          </w:rPr>
          <w:t>House Journal</w:t>
        </w:r>
        <w:r w:rsidRPr="009357AC">
          <w:rPr>
            <w:rStyle w:val="Hyperlink"/>
            <w:rFonts w:cs="Times New Roman"/>
          </w:rPr>
          <w:noBreakHyphen/>
          <w:t>page 53</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Returned to Senate with amendments (</w:t>
      </w:r>
      <w:hyperlink r:id="rId23" w:history="1">
        <w:r w:rsidRPr="009357AC">
          <w:rPr>
            <w:rStyle w:val="Hyperlink"/>
            <w:rFonts w:cs="Times New Roman"/>
          </w:rPr>
          <w:t>House Journal</w:t>
        </w:r>
        <w:r w:rsidRPr="009357AC">
          <w:rPr>
            <w:rStyle w:val="Hyperlink"/>
            <w:rFonts w:cs="Times New Roman"/>
          </w:rPr>
          <w:noBreakHyphen/>
          <w:t>page 54</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Concurred in House amendment and enrolled (</w:t>
      </w:r>
      <w:hyperlink r:id="rId24" w:history="1">
        <w:r w:rsidRPr="009357AC">
          <w:rPr>
            <w:rStyle w:val="Hyperlink"/>
            <w:rFonts w:cs="Times New Roman"/>
          </w:rPr>
          <w:t>Senate Journal</w:t>
        </w:r>
        <w:r w:rsidRPr="009357AC">
          <w:rPr>
            <w:rStyle w:val="Hyperlink"/>
            <w:rFonts w:cs="Times New Roman"/>
          </w:rPr>
          <w:noBreakHyphen/>
          <w:t>page 83</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41  Nays</w:t>
      </w:r>
      <w:r>
        <w:rPr>
          <w:rFonts w:cs="Times New Roman"/>
        </w:rPr>
        <w:noBreakHyphen/>
        <w:t>2 (</w:t>
      </w:r>
      <w:hyperlink r:id="rId25" w:history="1">
        <w:r w:rsidRPr="009357AC">
          <w:rPr>
            <w:rStyle w:val="Hyperlink"/>
            <w:rFonts w:cs="Times New Roman"/>
          </w:rPr>
          <w:t>Senate Journal</w:t>
        </w:r>
        <w:r w:rsidRPr="009357AC">
          <w:rPr>
            <w:rStyle w:val="Hyperlink"/>
            <w:rFonts w:cs="Times New Roman"/>
          </w:rPr>
          <w:noBreakHyphen/>
          <w:t>page 83</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228 (</w:t>
      </w:r>
      <w:hyperlink r:id="rId26" w:history="1">
        <w:r w:rsidRPr="009357AC">
          <w:rPr>
            <w:rStyle w:val="Hyperlink"/>
            <w:rFonts w:cs="Times New Roman"/>
          </w:rPr>
          <w:t>Senate Journal</w:t>
        </w:r>
        <w:r w:rsidRPr="009357AC">
          <w:rPr>
            <w:rStyle w:val="Hyperlink"/>
            <w:rFonts w:cs="Times New Roman"/>
          </w:rPr>
          <w:noBreakHyphen/>
          <w:t>page 229</w:t>
        </w:r>
      </w:hyperlink>
      <w:r>
        <w:rPr>
          <w:rFonts w:cs="Times New Roman"/>
        </w:rPr>
        <w:t>)</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lastRenderedPageBreak/>
        <w:tab/>
        <w:t>5/31/2022</w:t>
      </w:r>
      <w:r>
        <w:rPr>
          <w:rFonts w:cs="Times New Roman"/>
        </w:rPr>
        <w:tab/>
      </w:r>
      <w:r>
        <w:rPr>
          <w:rFonts w:cs="Times New Roman"/>
        </w:rPr>
        <w:tab/>
        <w:t>Effective date  See Act for Effective Date</w:t>
      </w:r>
    </w:p>
    <w:p w:rsidR="009522F4" w:rsidRDefault="009522F4" w:rsidP="009522F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202</w:t>
      </w:r>
    </w:p>
    <w:p w:rsidR="009522F4" w:rsidRDefault="009522F4" w:rsidP="009522F4">
      <w:pPr>
        <w:widowControl w:val="0"/>
        <w:tabs>
          <w:tab w:val="right" w:pos="1008"/>
          <w:tab w:val="left" w:pos="1152"/>
          <w:tab w:val="left" w:pos="1872"/>
          <w:tab w:val="left" w:pos="9187"/>
        </w:tabs>
        <w:ind w:left="2088" w:hanging="2088"/>
        <w:rPr>
          <w:rFonts w:cs="Times New Roman"/>
        </w:rPr>
      </w:pPr>
    </w:p>
    <w:p w:rsidR="00FD6F56" w:rsidRPr="00FD6F56" w:rsidRDefault="00FD6F56" w:rsidP="00FD6F56">
      <w:pPr>
        <w:widowControl w:val="0"/>
        <w:tabs>
          <w:tab w:val="right" w:pos="1008"/>
          <w:tab w:val="left" w:pos="1152"/>
          <w:tab w:val="left" w:pos="1872"/>
          <w:tab w:val="left" w:pos="9187"/>
        </w:tabs>
        <w:ind w:left="2088" w:hanging="2088"/>
        <w:rPr>
          <w:rFonts w:eastAsia="Times New Roman" w:cs="Times New Roman"/>
          <w:szCs w:val="20"/>
        </w:rPr>
      </w:pPr>
      <w:r w:rsidRPr="00FD6F56">
        <w:rPr>
          <w:rFonts w:eastAsia="Times New Roman" w:cs="Times New Roman"/>
          <w:szCs w:val="20"/>
        </w:rPr>
        <w:t xml:space="preserve">View the latest </w:t>
      </w:r>
      <w:hyperlink r:id="rId27" w:history="1">
        <w:r w:rsidRPr="00FD6F56">
          <w:rPr>
            <w:rFonts w:eastAsia="Times New Roman" w:cs="Times New Roman"/>
            <w:color w:val="0000FF" w:themeColor="hyperlink"/>
            <w:szCs w:val="20"/>
            <w:u w:val="single"/>
          </w:rPr>
          <w:t>legislative information</w:t>
        </w:r>
      </w:hyperlink>
      <w:r w:rsidRPr="00FD6F56">
        <w:rPr>
          <w:rFonts w:eastAsia="Times New Roman" w:cs="Times New Roman"/>
          <w:szCs w:val="20"/>
        </w:rPr>
        <w:t xml:space="preserve"> at the website</w:t>
      </w:r>
    </w:p>
    <w:p w:rsidR="00FD6F56" w:rsidRPr="00FD6F56" w:rsidRDefault="00FD6F56" w:rsidP="00FD6F56">
      <w:pPr>
        <w:widowControl w:val="0"/>
        <w:tabs>
          <w:tab w:val="right" w:pos="1008"/>
          <w:tab w:val="left" w:pos="1152"/>
          <w:tab w:val="left" w:pos="1872"/>
          <w:tab w:val="left" w:pos="9187"/>
        </w:tabs>
        <w:ind w:left="2088" w:hanging="2088"/>
        <w:rPr>
          <w:rFonts w:eastAsia="Times New Roman" w:cs="Times New Roman"/>
          <w:szCs w:val="20"/>
        </w:rPr>
      </w:pPr>
    </w:p>
    <w:p w:rsidR="00FD6F56" w:rsidRPr="00FD6F56" w:rsidRDefault="00FD6F56" w:rsidP="00FD6F56">
      <w:pPr>
        <w:widowControl w:val="0"/>
        <w:tabs>
          <w:tab w:val="right" w:pos="1008"/>
          <w:tab w:val="left" w:pos="1152"/>
          <w:tab w:val="left" w:pos="1872"/>
          <w:tab w:val="left" w:pos="9187"/>
        </w:tabs>
        <w:ind w:left="2088" w:hanging="2088"/>
        <w:rPr>
          <w:rFonts w:eastAsia="Times New Roman" w:cs="Times New Roman"/>
          <w:szCs w:val="20"/>
        </w:rPr>
      </w:pP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F56">
        <w:rPr>
          <w:rFonts w:eastAsia="Times New Roman" w:cs="Times New Roman"/>
          <w:b/>
          <w:szCs w:val="20"/>
        </w:rPr>
        <w:t>VERSIONS OF THIS BILL</w:t>
      </w:r>
    </w:p>
    <w:p w:rsidR="00FD6F56" w:rsidRPr="00FD6F56" w:rsidRDefault="00FD6F56"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F56" w:rsidRPr="00FD6F56" w:rsidRDefault="00CC1760" w:rsidP="00FD6F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FD6F56" w:rsidRPr="00FD6F56">
          <w:rPr>
            <w:rFonts w:eastAsia="Times New Roman" w:cs="Times New Roman"/>
            <w:color w:val="0000FF" w:themeColor="hyperlink"/>
            <w:szCs w:val="20"/>
            <w:u w:val="single"/>
          </w:rPr>
          <w:t>3/3/2022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D6F56" w:rsidRPr="00FD6F56">
          <w:rPr>
            <w:rFonts w:eastAsia="Times New Roman" w:cs="Times New Roman"/>
            <w:color w:val="0000FF" w:themeColor="hyperlink"/>
            <w:szCs w:val="20"/>
            <w:u w:val="single"/>
          </w:rPr>
          <w:t>3/31/2022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D6F56" w:rsidRPr="00FD6F56">
          <w:rPr>
            <w:rFonts w:eastAsia="Times New Roman" w:cs="Times New Roman"/>
            <w:color w:val="0000FF" w:themeColor="hyperlink"/>
            <w:szCs w:val="20"/>
            <w:u w:val="single"/>
          </w:rPr>
          <w:t>4/5/2022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D6F56" w:rsidRPr="00FD6F56">
          <w:rPr>
            <w:rFonts w:eastAsia="Times New Roman" w:cs="Times New Roman"/>
            <w:color w:val="0000FF" w:themeColor="hyperlink"/>
            <w:szCs w:val="20"/>
            <w:u w:val="single"/>
          </w:rPr>
          <w:t>4/6/2022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D6F56" w:rsidRPr="00FD6F56">
          <w:rPr>
            <w:rFonts w:eastAsia="Times New Roman" w:cs="Times New Roman"/>
            <w:color w:val="0000FF" w:themeColor="hyperlink"/>
            <w:szCs w:val="20"/>
            <w:u w:val="single"/>
          </w:rPr>
          <w:t>4/7/2022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D6F56" w:rsidRPr="00FD6F56">
          <w:rPr>
            <w:rFonts w:eastAsia="Times New Roman" w:cs="Times New Roman"/>
            <w:color w:val="0000FF" w:themeColor="hyperlink"/>
            <w:szCs w:val="20"/>
            <w:u w:val="single"/>
          </w:rPr>
          <w:t>4/12/2022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D6F56" w:rsidRPr="00FD6F56">
          <w:rPr>
            <w:rFonts w:eastAsia="Times New Roman" w:cs="Times New Roman"/>
            <w:color w:val="0000FF" w:themeColor="hyperlink"/>
            <w:szCs w:val="20"/>
            <w:u w:val="single"/>
          </w:rPr>
          <w:t>4/13/2022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D6F56" w:rsidRPr="00FD6F56">
          <w:rPr>
            <w:rFonts w:eastAsia="Times New Roman" w:cs="Times New Roman"/>
            <w:color w:val="0000FF" w:themeColor="hyperlink"/>
            <w:szCs w:val="20"/>
            <w:u w:val="single"/>
          </w:rPr>
          <w:t>4/20/2022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D6F56" w:rsidRPr="00FD6F56">
          <w:rPr>
            <w:rFonts w:eastAsia="Times New Roman" w:cs="Times New Roman"/>
            <w:color w:val="0000FF" w:themeColor="hyperlink"/>
            <w:szCs w:val="20"/>
            <w:u w:val="single"/>
          </w:rPr>
          <w:t>4/21/2022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FD6F56" w:rsidRPr="00FD6F56">
          <w:rPr>
            <w:rFonts w:eastAsia="Times New Roman" w:cs="Times New Roman"/>
            <w:color w:val="0000FF" w:themeColor="hyperlink"/>
            <w:szCs w:val="20"/>
            <w:u w:val="single"/>
          </w:rPr>
          <w:t>4/25/2022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FD6F56" w:rsidRPr="00FD6F56">
          <w:rPr>
            <w:rFonts w:eastAsia="Times New Roman" w:cs="Times New Roman"/>
            <w:color w:val="0000FF" w:themeColor="hyperlink"/>
            <w:szCs w:val="20"/>
            <w:u w:val="single"/>
          </w:rPr>
          <w:t>5/4/2022</w:t>
        </w:r>
      </w:hyperlink>
    </w:p>
    <w:p w:rsidR="00FD6F56" w:rsidRPr="00FD6F56" w:rsidRDefault="00CC1760"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FD6F56" w:rsidRPr="00FD6F56">
          <w:rPr>
            <w:rFonts w:eastAsia="Times New Roman" w:cs="Times New Roman"/>
            <w:color w:val="0000FF" w:themeColor="hyperlink"/>
            <w:szCs w:val="20"/>
            <w:u w:val="single"/>
          </w:rPr>
          <w:t>5/5/2022</w:t>
        </w:r>
      </w:hyperlink>
    </w:p>
    <w:p w:rsidR="00FD6F56" w:rsidRPr="00FD6F56" w:rsidRDefault="00FD6F56"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6F56" w:rsidRDefault="00FD6F56" w:rsidP="00FD6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6F56" w:rsidSect="00FD6F56">
          <w:pgSz w:w="12240" w:h="15840" w:code="1"/>
          <w:pgMar w:top="1080" w:right="1440" w:bottom="1080" w:left="1440" w:header="720" w:footer="720" w:gutter="0"/>
          <w:pgNumType w:start="1"/>
          <w:cols w:space="720"/>
          <w:noEndnote/>
          <w:docGrid w:linePitch="360"/>
        </w:sect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(A202, R228, H5075)</w:t>
      </w:r>
    </w:p>
    <w:p w:rsidR="00620D1B" w:rsidRPr="008836A5"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0D1B" w:rsidRPr="00FD6F56"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6F56">
        <w:rPr>
          <w:rFonts w:cs="Times New Roman"/>
          <w:b/>
          <w:color w:val="000000" w:themeColor="text1"/>
          <w:szCs w:val="36"/>
        </w:rPr>
        <w:t xml:space="preserve">AN ACT </w:t>
      </w:r>
      <w:r w:rsidRPr="00FD6F56">
        <w:rPr>
          <w:rFonts w:cs="Times New Roman"/>
          <w:b/>
        </w:rPr>
        <w:t>TO AMEND SECTION 12</w:t>
      </w:r>
      <w:r w:rsidRPr="00FD6F56">
        <w:rPr>
          <w:rFonts w:cs="Times New Roman"/>
          <w:b/>
        </w:rPr>
        <w:noBreakHyphen/>
        <w:t>6</w:t>
      </w:r>
      <w:r w:rsidRPr="00FD6F56">
        <w:rPr>
          <w:rFonts w:cs="Times New Roman"/>
          <w:b/>
        </w:rPr>
        <w:noBreakHyphen/>
        <w:t xml:space="preserve">3795, CODE OF LAWS OF SOUTH CAROLINA, 1976, RELATING TO THE SOUTH CAROLINA HOUSING TAX CREDIT, SO AS TO DEFINE TERMS AND LIMIT THE CREDIT; TO PROVIDE A ONE-TIME AUTHORIZATION OF SOUTH CAROLINA HOUSING TAX CREDITS FOR CERTAIN PROJECTS APPROVED BEFORE 2022; TO AMEND ARTICLE 3 OF CHAPTER 11, TITLE 1, RELATING TO THE </w:t>
      </w:r>
      <w:r w:rsidRPr="00FD6F56">
        <w:rPr>
          <w:rFonts w:cs="Times New Roman"/>
          <w:b/>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D6F56">
        <w:rPr>
          <w:rFonts w:cs="Times New Roman"/>
          <w:b/>
          <w:lang w:val="en-PH"/>
        </w:rPr>
        <w:noBreakHyphen/>
        <w:t>11</w:t>
      </w:r>
      <w:r w:rsidRPr="00FD6F56">
        <w:rPr>
          <w:rFonts w:cs="Times New Roman"/>
          <w:b/>
          <w:lang w:val="en-PH"/>
        </w:rPr>
        <w:noBreakHyphen/>
        <w:t xml:space="preserve">370 RELATING TO INDEBTEDNESS INCLUDED WITHIN ANY LIMITS ON PRIVATE ACTIVITY BONDS. </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16F6E">
        <w:rPr>
          <w:rFonts w:cs="Times New Roman"/>
        </w:rPr>
        <w:tab/>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F6E">
        <w:rPr>
          <w:rFonts w:cs="Times New Roman"/>
        </w:rPr>
        <w:t>Be it enacted by the General Assembly of the State of South Carolina:</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0D1B" w:rsidRPr="00FE04C9"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Housing Tax Credit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F6E">
        <w:rPr>
          <w:rFonts w:cs="Times New Roman"/>
        </w:rPr>
        <w:t>SECTION</w:t>
      </w:r>
      <w:r w:rsidRPr="00216F6E">
        <w:rPr>
          <w:rFonts w:cs="Times New Roman"/>
        </w:rPr>
        <w:tab/>
        <w:t>1.</w:t>
      </w:r>
      <w:r w:rsidRPr="00216F6E">
        <w:rPr>
          <w:rFonts w:cs="Times New Roman"/>
        </w:rPr>
        <w:tab/>
        <w:t>A.</w:t>
      </w:r>
      <w:r w:rsidRPr="00216F6E">
        <w:rPr>
          <w:rFonts w:cs="Times New Roman"/>
        </w:rPr>
        <w:tab/>
      </w:r>
      <w:r w:rsidRPr="00216F6E">
        <w:rPr>
          <w:rFonts w:cs="Times New Roman"/>
        </w:rPr>
        <w:tab/>
        <w:t>Section 12</w:t>
      </w:r>
      <w:r>
        <w:rPr>
          <w:rFonts w:cs="Times New Roman"/>
        </w:rPr>
        <w:noBreakHyphen/>
      </w:r>
      <w:r w:rsidRPr="00216F6E">
        <w:rPr>
          <w:rFonts w:cs="Times New Roman"/>
        </w:rPr>
        <w:t>6</w:t>
      </w:r>
      <w:r>
        <w:rPr>
          <w:rFonts w:cs="Times New Roman"/>
        </w:rPr>
        <w:noBreakHyphen/>
      </w:r>
      <w:r w:rsidRPr="00216F6E">
        <w:rPr>
          <w:rFonts w:cs="Times New Roman"/>
        </w:rPr>
        <w:t>3795 of the 1976 Code, as added by Act 137 of 2020, is amended to read: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rPr>
        <w:tab/>
        <w:t>“</w:t>
      </w:r>
      <w:r w:rsidRPr="00216F6E">
        <w:rPr>
          <w:rFonts w:cs="Times New Roman"/>
          <w:lang w:val="en-PH"/>
        </w:rPr>
        <w:t>Section 12</w:t>
      </w:r>
      <w:r>
        <w:rPr>
          <w:rFonts w:cs="Times New Roman"/>
          <w:lang w:val="en-PH"/>
        </w:rPr>
        <w:noBreakHyphen/>
      </w:r>
      <w:r w:rsidRPr="00216F6E">
        <w:rPr>
          <w:rFonts w:cs="Times New Roman"/>
          <w:lang w:val="en-PH"/>
        </w:rPr>
        <w:t>6</w:t>
      </w:r>
      <w:r>
        <w:rPr>
          <w:rFonts w:cs="Times New Roman"/>
          <w:lang w:val="en-PH"/>
        </w:rPr>
        <w:noBreakHyphen/>
      </w:r>
      <w:r w:rsidRPr="00216F6E">
        <w:rPr>
          <w:rFonts w:cs="Times New Roman"/>
          <w:lang w:val="en-PH"/>
        </w:rPr>
        <w:t>3795.</w:t>
      </w:r>
      <w:r w:rsidRPr="00216F6E">
        <w:rPr>
          <w:rFonts w:cs="Times New Roman"/>
          <w:lang w:val="en-PH"/>
        </w:rPr>
        <w:tab/>
        <w:t>(A)</w:t>
      </w:r>
      <w:r w:rsidRPr="00216F6E">
        <w:rPr>
          <w:rFonts w:cs="Times New Roman"/>
          <w:lang w:val="en-PH"/>
        </w:rPr>
        <w:tab/>
        <w:t>As used in this section:</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(1)</w:t>
      </w:r>
      <w:r w:rsidRPr="00216F6E">
        <w:rPr>
          <w:rFonts w:cs="Times New Roman"/>
          <w:lang w:val="en-PH"/>
        </w:rPr>
        <w:tab/>
        <w:t>‘Eligibility statement’ means a statement authorized and issued by the South Carolina State Housing and Finance Development Authority certifying that a given project qualifies for the South Carolina housing tax credit, including any preliminary determination thereof.</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(2)</w:t>
      </w:r>
      <w:r w:rsidRPr="00216F6E">
        <w:rPr>
          <w:rFonts w:cs="Times New Roman"/>
          <w:lang w:val="en-PH"/>
        </w:rPr>
        <w:tab/>
        <w:t>‘Federal housing tax credit’ means the federal tax credit as provided in Section 42 of the Internal Revenue Code of 1986, as amended.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(3)</w:t>
      </w:r>
      <w:r w:rsidRPr="00216F6E">
        <w:rPr>
          <w:rFonts w:cs="Times New Roman"/>
          <w:lang w:val="en-PH"/>
        </w:rPr>
        <w:tab/>
        <w:t>‘Median income’ means those incomes that are determined by the federal Department of Housing and Urban Development guidelines and adjusted for family size.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(4)</w:t>
      </w:r>
      <w:r w:rsidRPr="00216F6E">
        <w:rPr>
          <w:rFonts w:cs="Times New Roman"/>
          <w:lang w:val="en-PH"/>
        </w:rPr>
        <w:tab/>
        <w:t xml:space="preserve">‘Project’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w:t>
      </w:r>
      <w:r w:rsidRPr="00216F6E">
        <w:rPr>
          <w:rFonts w:cs="Times New Roman"/>
          <w:lang w:val="en-PH"/>
        </w:rPr>
        <w:lastRenderedPageBreak/>
        <w:t>by persons or families having incomes of fifty percent or less of the median income.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(5)</w:t>
      </w:r>
      <w:r w:rsidRPr="00216F6E">
        <w:rPr>
          <w:rFonts w:cs="Times New Roman"/>
          <w:lang w:val="en-PH"/>
        </w:rPr>
        <w:tab/>
        <w:t>‘Qualified project’ means a qualified low</w:t>
      </w:r>
      <w:r>
        <w:rPr>
          <w:rFonts w:cs="Times New Roman"/>
          <w:lang w:val="en-PH"/>
        </w:rPr>
        <w:noBreakHyphen/>
      </w:r>
      <w:r w:rsidRPr="00216F6E">
        <w:rPr>
          <w:rFonts w:cs="Times New Roman"/>
          <w:lang w:val="en-PH"/>
        </w:rPr>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(6)</w:t>
      </w:r>
      <w:r w:rsidRPr="00216F6E">
        <w:rPr>
          <w:rFonts w:cs="Times New Roman"/>
          <w:lang w:val="en-PH"/>
        </w:rPr>
        <w:tab/>
        <w:t>‘Taxpayer’ means a sole proprietor, partnership, corporation of any classification, limited liability company, or association taxable as a business entity that is subject to South Carolina taxes pursuant to Section 12</w:t>
      </w:r>
      <w:r>
        <w:rPr>
          <w:rFonts w:cs="Times New Roman"/>
          <w:lang w:val="en-PH"/>
        </w:rPr>
        <w:noBreakHyphen/>
      </w:r>
      <w:r w:rsidRPr="00216F6E">
        <w:rPr>
          <w:rFonts w:cs="Times New Roman"/>
          <w:lang w:val="en-PH"/>
        </w:rPr>
        <w:t>6</w:t>
      </w:r>
      <w:r>
        <w:rPr>
          <w:rFonts w:cs="Times New Roman"/>
          <w:lang w:val="en-PH"/>
        </w:rPr>
        <w:noBreakHyphen/>
      </w:r>
      <w:r w:rsidRPr="00216F6E">
        <w:rPr>
          <w:rFonts w:cs="Times New Roman"/>
          <w:lang w:val="en-PH"/>
        </w:rPr>
        <w:t>510, Section 12</w:t>
      </w:r>
      <w:r>
        <w:rPr>
          <w:rFonts w:cs="Times New Roman"/>
          <w:lang w:val="en-PH"/>
        </w:rPr>
        <w:noBreakHyphen/>
      </w:r>
      <w:r w:rsidRPr="00216F6E">
        <w:rPr>
          <w:rFonts w:cs="Times New Roman"/>
          <w:lang w:val="en-PH"/>
        </w:rPr>
        <w:t>6</w:t>
      </w:r>
      <w:r>
        <w:rPr>
          <w:rFonts w:cs="Times New Roman"/>
          <w:lang w:val="en-PH"/>
        </w:rPr>
        <w:noBreakHyphen/>
      </w:r>
      <w:r w:rsidRPr="00216F6E">
        <w:rPr>
          <w:rFonts w:cs="Times New Roman"/>
          <w:lang w:val="en-PH"/>
        </w:rPr>
        <w:t>530, Chapter 11, Title 12, or Chapter 7, Title 38.</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lang w:val="en-PH"/>
        </w:rPr>
      </w:pPr>
      <w:r w:rsidRPr="00216F6E">
        <w:rPr>
          <w:rFonts w:cs="Times New Roman"/>
          <w:lang w:val="en-PH"/>
        </w:rPr>
        <w:tab/>
      </w:r>
      <w:r w:rsidRPr="00216F6E">
        <w:rPr>
          <w:rFonts w:cs="Times New Roman"/>
          <w:lang w:val="en-PH"/>
        </w:rPr>
        <w:tab/>
        <w:t>(7)</w:t>
      </w:r>
      <w:r w:rsidRPr="00216F6E">
        <w:rPr>
          <w:rFonts w:cs="Times New Roman"/>
          <w:color w:val="000000" w:themeColor="text1"/>
          <w:lang w:val="en-PH"/>
        </w:rPr>
        <w:tab/>
        <w:t xml:space="preserve">‘Federal 9 percent tax credit’ means the federal housing tax credit described in Section </w:t>
      </w:r>
      <w:r w:rsidRPr="00216F6E">
        <w:rPr>
          <w:rFonts w:cs="Times New Roman"/>
          <w:color w:val="000000" w:themeColor="text1"/>
          <w:shd w:val="clear" w:color="auto" w:fill="FFFFFF"/>
        </w:rPr>
        <w:t>42(b)(1)(B)(i) of the Internal Revenue Code.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lang w:val="en-PH"/>
        </w:rPr>
      </w:pPr>
      <w:r w:rsidRPr="00216F6E">
        <w:rPr>
          <w:rFonts w:cs="Times New Roman"/>
          <w:color w:val="000000" w:themeColor="text1"/>
          <w:lang w:val="en-PH"/>
        </w:rPr>
        <w:tab/>
      </w:r>
      <w:r w:rsidRPr="00216F6E">
        <w:rPr>
          <w:rFonts w:cs="Times New Roman"/>
          <w:color w:val="000000" w:themeColor="text1"/>
          <w:lang w:val="en-PH"/>
        </w:rPr>
        <w:tab/>
        <w:t>(8)</w:t>
      </w:r>
      <w:r w:rsidRPr="00216F6E">
        <w:rPr>
          <w:rFonts w:cs="Times New Roman"/>
          <w:color w:val="000000" w:themeColor="text1"/>
          <w:lang w:val="en-PH"/>
        </w:rPr>
        <w:tab/>
        <w:t xml:space="preserve">‘Federal 4 percent tax credit’ means the federal housing tax credit described in Section </w:t>
      </w:r>
      <w:r w:rsidRPr="00216F6E">
        <w:rPr>
          <w:rFonts w:cs="Times New Roman"/>
          <w:color w:val="000000" w:themeColor="text1"/>
          <w:shd w:val="clear" w:color="auto" w:fill="FFFFFF"/>
        </w:rPr>
        <w:t xml:space="preserve">42(b)(1)(B)(ii) of the Internal Revenue Code. </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lang w:val="en-PH"/>
        </w:rPr>
      </w:pPr>
      <w:r w:rsidRPr="00216F6E">
        <w:rPr>
          <w:rFonts w:cs="Times New Roman"/>
          <w:color w:val="000000" w:themeColor="text1"/>
          <w:lang w:val="en-PH"/>
        </w:rPr>
        <w:tab/>
      </w:r>
      <w:r w:rsidRPr="00216F6E">
        <w:rPr>
          <w:rFonts w:cs="Times New Roman"/>
          <w:color w:val="000000" w:themeColor="text1"/>
          <w:lang w:val="en-PH"/>
        </w:rPr>
        <w:tab/>
        <w:t>(9)</w:t>
      </w:r>
      <w:r w:rsidRPr="00216F6E">
        <w:rPr>
          <w:rFonts w:cs="Times New Roman"/>
          <w:color w:val="000000" w:themeColor="text1"/>
          <w:lang w:val="en-PH"/>
        </w:rPr>
        <w:tab/>
        <w:t>‘Credit period’ has the meaning defined in Section 42(f)(1) of the Internal Revenue Code.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lang w:val="en-PH"/>
        </w:rPr>
      </w:pPr>
      <w:r w:rsidRPr="00216F6E">
        <w:rPr>
          <w:rFonts w:cs="Times New Roman"/>
          <w:color w:val="000000" w:themeColor="text1"/>
          <w:lang w:val="en-PH"/>
        </w:rPr>
        <w:tab/>
      </w:r>
      <w:r w:rsidRPr="00216F6E">
        <w:rPr>
          <w:rFonts w:cs="Times New Roman"/>
          <w:color w:val="000000" w:themeColor="text1"/>
          <w:lang w:val="en-PH"/>
        </w:rPr>
        <w:tab/>
        <w:t>(10)</w:t>
      </w:r>
      <w:r w:rsidRPr="00216F6E">
        <w:rPr>
          <w:rFonts w:cs="Times New Roman"/>
          <w:color w:val="000000" w:themeColor="text1"/>
          <w:lang w:val="en-PH"/>
        </w:rPr>
        <w:tab/>
        <w:t>‘State housing authority’ means the South Carolina State Housing Finance and Development Authority.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color w:val="000000" w:themeColor="text1"/>
          <w:lang w:val="en-PH"/>
        </w:rPr>
        <w:tab/>
      </w:r>
      <w:r w:rsidRPr="00216F6E">
        <w:rPr>
          <w:rFonts w:cs="Times New Roman"/>
          <w:color w:val="000000" w:themeColor="text1"/>
          <w:lang w:val="en-PH"/>
        </w:rPr>
        <w:tab/>
        <w:t>(11)</w:t>
      </w:r>
      <w:r w:rsidRPr="00216F6E">
        <w:rPr>
          <w:rFonts w:cs="Times New Roman"/>
          <w:color w:val="000000" w:themeColor="text1"/>
          <w:lang w:val="en-PH"/>
        </w:rPr>
        <w:tab/>
        <w:t>‘Department of Revenue’ means the South Carolina Department of Revenue.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(B)(1)</w:t>
      </w:r>
      <w:r w:rsidRPr="00216F6E">
        <w:rPr>
          <w:rFonts w:cs="Times New Roman"/>
          <w:lang w:val="en-PH"/>
        </w:rPr>
        <w:tab/>
        <w:t>A state tax credit pursuant to this section may be claimed against income taxes imposed by Section 12</w:t>
      </w:r>
      <w:r>
        <w:rPr>
          <w:rFonts w:cs="Times New Roman"/>
          <w:lang w:val="en-PH"/>
        </w:rPr>
        <w:noBreakHyphen/>
      </w:r>
      <w:r w:rsidRPr="00216F6E">
        <w:rPr>
          <w:rFonts w:cs="Times New Roman"/>
          <w:lang w:val="en-PH"/>
        </w:rPr>
        <w:t>6</w:t>
      </w:r>
      <w:r>
        <w:rPr>
          <w:rFonts w:cs="Times New Roman"/>
          <w:lang w:val="en-PH"/>
        </w:rPr>
        <w:noBreakHyphen/>
      </w:r>
      <w:r w:rsidRPr="00216F6E">
        <w:rPr>
          <w:rFonts w:cs="Times New Roman"/>
          <w:lang w:val="en-PH"/>
        </w:rPr>
        <w:t>510 or 12</w:t>
      </w:r>
      <w:r>
        <w:rPr>
          <w:rFonts w:cs="Times New Roman"/>
          <w:lang w:val="en-PH"/>
        </w:rPr>
        <w:noBreakHyphen/>
      </w:r>
      <w:r w:rsidRPr="00216F6E">
        <w:rPr>
          <w:rFonts w:cs="Times New Roman"/>
          <w:lang w:val="en-PH"/>
        </w:rPr>
        <w:t>6</w:t>
      </w:r>
      <w:r>
        <w:rPr>
          <w:rFonts w:cs="Times New Roman"/>
          <w:lang w:val="en-PH"/>
        </w:rPr>
        <w:noBreakHyphen/>
      </w:r>
      <w:r w:rsidRPr="00216F6E">
        <w:rPr>
          <w:rFonts w:cs="Times New Roman"/>
          <w:lang w:val="en-PH"/>
        </w:rPr>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not to exceed the federal housing tax credit allowed with respect to such qualified project, subject to the limitations of item (5). In computing a tax payable by a taxpayer pursuant to Section 38</w:t>
      </w:r>
      <w:r>
        <w:rPr>
          <w:rFonts w:cs="Times New Roman"/>
          <w:lang w:val="en-PH"/>
        </w:rPr>
        <w:noBreakHyphen/>
      </w:r>
      <w:r w:rsidRPr="00216F6E">
        <w:rPr>
          <w:rFonts w:cs="Times New Roman"/>
          <w:lang w:val="en-PH"/>
        </w:rPr>
        <w:t>7</w:t>
      </w:r>
      <w:r>
        <w:rPr>
          <w:rFonts w:cs="Times New Roman"/>
          <w:lang w:val="en-PH"/>
        </w:rPr>
        <w:noBreakHyphen/>
      </w:r>
      <w:r w:rsidRPr="00216F6E">
        <w:rPr>
          <w:rFonts w:cs="Times New Roman"/>
          <w:lang w:val="en-PH"/>
        </w:rPr>
        <w:t>90, the credit allowed pursuant to this section must be treated as a premium tax paid pursuant to Section 38</w:t>
      </w:r>
      <w:r>
        <w:rPr>
          <w:rFonts w:cs="Times New Roman"/>
          <w:lang w:val="en-PH"/>
        </w:rPr>
        <w:noBreakHyphen/>
      </w:r>
      <w:r w:rsidRPr="00216F6E">
        <w:rPr>
          <w:rFonts w:cs="Times New Roman"/>
          <w:lang w:val="en-PH"/>
        </w:rPr>
        <w:t>7</w:t>
      </w:r>
      <w:r>
        <w:rPr>
          <w:rFonts w:cs="Times New Roman"/>
          <w:lang w:val="en-PH"/>
        </w:rPr>
        <w:noBreakHyphen/>
      </w:r>
      <w:r w:rsidRPr="00216F6E">
        <w:rPr>
          <w:rFonts w:cs="Times New Roman"/>
          <w:lang w:val="en-PH"/>
        </w:rPr>
        <w:t>20.</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(2)(a)</w:t>
      </w:r>
      <w:r w:rsidRPr="00216F6E">
        <w:rPr>
          <w:rFonts w:cs="Times New Roman"/>
          <w:lang w:val="en-PH"/>
        </w:rPr>
        <w:tab/>
        <w:t>If under Section 42 of the Internal Revenue Code of 1986, as amended, a portion of any federal housing tax credit taken on a project is required to be recaptured, the taxpayer claiming any South Carolina housing tax credit with respect to such project also is required to recapture a portion of any South Carolina housing tax credit authorized by this section. The state recapture amount is equal to the proportion of the South Carolina housing tax credit claimed by the taxpayer that equals the proportion the federal recapture amount bears to the original federal housing tax credit amount subject to recapture.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lastRenderedPageBreak/>
        <w:tab/>
      </w:r>
      <w:r w:rsidRPr="00216F6E">
        <w:rPr>
          <w:rFonts w:cs="Times New Roman"/>
          <w:lang w:val="en-PH"/>
        </w:rPr>
        <w:tab/>
      </w:r>
      <w:r w:rsidRPr="00216F6E">
        <w:rPr>
          <w:rFonts w:cs="Times New Roman"/>
          <w:lang w:val="en-PH"/>
        </w:rPr>
        <w:tab/>
        <w:t>(b)</w:t>
      </w:r>
      <w:r w:rsidRPr="00216F6E">
        <w:rPr>
          <w:rFonts w:cs="Times New Roman"/>
          <w:lang w:val="en-PH"/>
        </w:rPr>
        <w:tab/>
        <w:t>In the event that recapture of any South Carolina housing tax credit is required, any return submitted to the Department of Revenue, as provided in this section, shall include the proportion of the South Carolina housing tax credit required to be recaptured, the identity of each taxpayer subject to the recapture, and the amount of South Carolina housing tax credit previously allocated to such taxpayer.  Any recapture of the South Carolina housing tax credit is reported in the same manner as any recapture of the federal housing tax credit.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(3)</w:t>
      </w:r>
      <w:r w:rsidRPr="00216F6E">
        <w:rPr>
          <w:rFonts w:cs="Times New Roman"/>
          <w:lang w:val="en-PH"/>
        </w:rPr>
        <w:tab/>
        <w:t>The total amount of the South Carolina housing tax credit allowed by this section for a taxable year may not exceed the taxpayer’s income tax liability. Any unused South Carolina housing tax credit may be carried forward to apply to the taxpayer’s next five succeeding years’ tax liability. The taxpayer may not apply the credit against any prior tax years’ tax liability.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(4)</w:t>
      </w:r>
      <w:r w:rsidRPr="00216F6E">
        <w:rPr>
          <w:rFonts w:cs="Times New Roman"/>
          <w:lang w:val="en-PH"/>
        </w:rPr>
        <w:tab/>
        <w:t>The South Carolina housing tax credit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(5)(a)</w:t>
      </w:r>
      <w:r w:rsidRPr="00216F6E">
        <w:rPr>
          <w:rFonts w:cs="Times New Roman"/>
          <w:lang w:val="en-PH"/>
        </w:rPr>
        <w:tab/>
        <w:t>The South Carolina housing tax credit allowed for any project must supplement but not supplant the federal housing tax credit and must be limited to an amount necessary only to achieve financial feasibility of the project.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216F6E">
        <w:rPr>
          <w:rFonts w:cs="Times New Roman"/>
          <w:lang w:val="en-PH"/>
        </w:rPr>
        <w:tab/>
      </w:r>
      <w:r w:rsidRPr="00216F6E">
        <w:rPr>
          <w:rFonts w:cs="Times New Roman"/>
          <w:lang w:val="en-PH"/>
        </w:rPr>
        <w:tab/>
      </w:r>
      <w:r w:rsidRPr="00216F6E">
        <w:rPr>
          <w:rFonts w:cs="Times New Roman"/>
          <w:lang w:val="en-PH"/>
        </w:rPr>
        <w:tab/>
        <w:t>(b)</w:t>
      </w:r>
      <w:r w:rsidRPr="00216F6E">
        <w:rPr>
          <w:rFonts w:cs="Times New Roman"/>
          <w:lang w:val="en-PH"/>
        </w:rPr>
        <w:tab/>
        <w:t>The total amount of all South Carolina housing tax credits that may be allocated in any calendar year must not exceed twenty million dollars</w:t>
      </w:r>
      <w:r w:rsidRPr="00216F6E">
        <w:rPr>
          <w:rFonts w:cs="Times New Roman"/>
          <w:color w:val="000000" w:themeColor="text1"/>
          <w:u w:color="000000" w:themeColor="text1"/>
          <w:lang w:val="en-PH"/>
        </w:rPr>
        <w:t>, plus the total of all unallocated tax credits, if any, for any preceding years, and the total amount of any previously allocated tax credits that have been recaptured, revoked, canceled, or otherwise recovered but not otherwise reallocated.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216F6E">
        <w:rPr>
          <w:rFonts w:cs="Times New Roman"/>
          <w:color w:val="000000" w:themeColor="text1"/>
          <w:u w:color="000000" w:themeColor="text1"/>
          <w:lang w:val="en-PH"/>
        </w:rPr>
        <w:tab/>
      </w:r>
      <w:r w:rsidRPr="00216F6E">
        <w:rPr>
          <w:rFonts w:cs="Times New Roman"/>
          <w:color w:val="000000" w:themeColor="text1"/>
          <w:u w:color="000000" w:themeColor="text1"/>
          <w:lang w:val="en-PH"/>
        </w:rPr>
        <w:tab/>
      </w:r>
      <w:r w:rsidRPr="00216F6E">
        <w:rPr>
          <w:rFonts w:cs="Times New Roman"/>
          <w:color w:val="000000" w:themeColor="text1"/>
          <w:u w:color="000000" w:themeColor="text1"/>
          <w:lang w:val="en-PH"/>
        </w:rPr>
        <w:tab/>
        <w:t>(c)</w:t>
      </w:r>
      <w:r w:rsidRPr="00216F6E">
        <w:rPr>
          <w:rFonts w:cs="Times New Roman"/>
          <w:color w:val="000000" w:themeColor="text1"/>
          <w:u w:color="000000" w:themeColor="text1"/>
          <w:lang w:val="en-PH"/>
        </w:rPr>
        <w:tab/>
        <w:t xml:space="preserve">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 less than fifty percent of the South Carolina 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w:t>
      </w:r>
      <w:r w:rsidRPr="00216F6E">
        <w:rPr>
          <w:rFonts w:cs="Times New Roman"/>
          <w:color w:val="000000" w:themeColor="text1"/>
          <w:u w:color="000000" w:themeColor="text1"/>
          <w:lang w:val="en-PH"/>
        </w:rPr>
        <w:lastRenderedPageBreak/>
        <w:t>Commerce, irrespective of rural eligibility criteria; and (iii) other qualified projects, irrespective of rural eligibility criteria.</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216F6E">
        <w:rPr>
          <w:rFonts w:cs="Times New Roman"/>
          <w:color w:val="000000" w:themeColor="text1"/>
          <w:u w:color="000000" w:themeColor="text1"/>
          <w:lang w:val="en-PH"/>
        </w:rPr>
        <w:tab/>
      </w:r>
      <w:r w:rsidRPr="00216F6E">
        <w:rPr>
          <w:rFonts w:cs="Times New Roman"/>
          <w:color w:val="000000" w:themeColor="text1"/>
          <w:u w:color="000000" w:themeColor="text1"/>
          <w:lang w:val="en-PH"/>
        </w:rPr>
        <w:tab/>
      </w:r>
      <w:r w:rsidRPr="00216F6E">
        <w:rPr>
          <w:rFonts w:cs="Times New Roman"/>
          <w:color w:val="000000" w:themeColor="text1"/>
          <w:u w:color="000000" w:themeColor="text1"/>
          <w:lang w:val="en-PH"/>
        </w:rPr>
        <w:tab/>
        <w:t>(d)</w:t>
      </w:r>
      <w:r w:rsidRPr="00216F6E">
        <w:rPr>
          <w:rFonts w:cs="Times New Roman"/>
          <w:color w:val="000000" w:themeColor="text1"/>
          <w:u w:color="000000" w:themeColor="text1"/>
          <w:lang w:val="en-PH"/>
        </w:rPr>
        <w:tab/>
        <w:t>Compliance with the dollar limitations of subitems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color w:val="000000" w:themeColor="text1"/>
          <w:u w:color="000000" w:themeColor="text1"/>
          <w:lang w:val="en-PH"/>
        </w:rPr>
        <w:tab/>
      </w:r>
      <w:r w:rsidRPr="00216F6E">
        <w:rPr>
          <w:rFonts w:cs="Times New Roman"/>
          <w:color w:val="000000" w:themeColor="text1"/>
          <w:u w:color="000000" w:themeColor="text1"/>
          <w:lang w:val="en-PH"/>
        </w:rPr>
        <w:tab/>
      </w:r>
      <w:r w:rsidRPr="00216F6E">
        <w:rPr>
          <w:rFonts w:cs="Times New Roman"/>
          <w:color w:val="000000" w:themeColor="text1"/>
          <w:u w:color="000000" w:themeColor="text1"/>
          <w:lang w:val="en-PH"/>
        </w:rPr>
        <w:tab/>
        <w:t>(e)</w:t>
      </w:r>
      <w:r w:rsidRPr="00216F6E">
        <w:rPr>
          <w:rFonts w:cs="Times New Roman"/>
          <w:color w:val="000000" w:themeColor="text1"/>
          <w:u w:color="000000" w:themeColor="text1"/>
          <w:lang w:val="en-PH"/>
        </w:rPr>
        <w:tab/>
        <w:t>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(C)(1)</w:t>
      </w:r>
      <w:r w:rsidRPr="00216F6E">
        <w:rPr>
          <w:rFonts w:cs="Times New Roman"/>
          <w:lang w:val="en-PH"/>
        </w:rPr>
        <w:tab/>
        <w:t>The state housing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 and must include: (i) the annual amount of South Carolina housing tax credit allocated to the qualified project for each year of credit the period; and (ii) the total amount of South Carolina housing tax credit allocated to the qualified project for the entire credit period.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(2)</w:t>
      </w:r>
      <w:r w:rsidRPr="00216F6E">
        <w:rPr>
          <w:rFonts w:cs="Times New Roman"/>
          <w:lang w:val="en-PH"/>
        </w:rPr>
        <w:tab/>
        <w:t>The state housing authority may not issue an eligibility statement until the taxpayer provides a report to the state housing authority detailing how the South Carolina housing tax credit will benefit the tenants of the project, once placed in service, including without limitation</w:t>
      </w:r>
      <w:r>
        <w:rPr>
          <w:rFonts w:cs="Times New Roman"/>
          <w:lang w:val="en-PH"/>
        </w:rPr>
        <w:t>,</w:t>
      </w:r>
      <w:r w:rsidRPr="00216F6E">
        <w:rPr>
          <w:rFonts w:cs="Times New Roman"/>
          <w:lang w:val="en-PH"/>
        </w:rPr>
        <w:t xml:space="preserve"> reduced rent, and why the South Carolina housing tax credit is essential to the financial feasibility of the project.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r>
      <w:r w:rsidRPr="00216F6E">
        <w:rPr>
          <w:rFonts w:cs="Times New Roman"/>
          <w:u w:color="000000" w:themeColor="text1"/>
          <w:lang w:val="en-PH"/>
        </w:rPr>
        <w:t>(3)</w:t>
      </w:r>
      <w:r w:rsidRPr="00216F6E">
        <w:rPr>
          <w:rFonts w:cs="Times New Roman"/>
          <w:u w:color="000000" w:themeColor="text1"/>
          <w:lang w:val="en-PH"/>
        </w:rPr>
        <w:tab/>
        <w:t xml:space="preserve">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(i) written notice by the state housing authority to the county and city within which any project is proposed to be located; (ii) following such notice, an opportunity for public comment on the proposed project at a public hearing conducted by the state housing </w:t>
      </w:r>
      <w:r w:rsidRPr="00216F6E">
        <w:rPr>
          <w:rFonts w:cs="Times New Roman"/>
          <w:u w:color="000000" w:themeColor="text1"/>
          <w:lang w:val="en-PH"/>
        </w:rPr>
        <w:lastRenderedPageBreak/>
        <w:t>authority no less than ten business days following notice of such public hearing, notification of which must be made by publication in a newspaper of general circulation in the county and city within which the proposed project is to be located; and (iii) an opportunity for the county and the city within which the project is proposed to be located to provide comment within no less than ten business days following such public hearing. The criteria established pursuant to this section, and any qualified allocation plan, are subject to the prior review and comment of the Joint Bond Review Committee.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(4)</w:t>
      </w:r>
      <w:r w:rsidRPr="00216F6E">
        <w:rPr>
          <w:rFonts w:cs="Times New Roman"/>
          <w:lang w:val="en-PH"/>
        </w:rPr>
        <w:tab/>
        <w:t>The state housing authority must furnish no later than January thirty</w:t>
      </w:r>
      <w:r>
        <w:rPr>
          <w:rFonts w:cs="Times New Roman"/>
          <w:lang w:val="en-PH"/>
        </w:rPr>
        <w:noBreakHyphen/>
      </w:r>
      <w:r w:rsidRPr="00216F6E">
        <w:rPr>
          <w:rFonts w:cs="Times New Roman"/>
          <w:lang w:val="en-PH"/>
        </w:rPr>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(D)</w:t>
      </w:r>
      <w:r w:rsidRPr="00216F6E">
        <w:rPr>
          <w:rFonts w:cs="Times New Roman"/>
          <w:lang w:val="en-PH"/>
        </w:rPr>
        <w:tab/>
        <w:t>The Department of Revenue, in consultation with the state housing authority, may adopt rules and policies necessary to implement and administer the provisions of this section; provided, however, that the state housing authority has the responsibility for: (i) allocation and administration of the South Carolina housing tax credit; and (ii) ensuring that the limits prescribed by subsection (B)(5)(b) and (c) are not exceeded.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(E)</w:t>
      </w:r>
      <w:r w:rsidRPr="00216F6E">
        <w:rPr>
          <w:rFonts w:cs="Times New Roman"/>
          <w:lang w:val="en-PH"/>
        </w:rPr>
        <w:tab/>
        <w:t>Notwithstanding any other provision of law, the provisions of this section and administration thereof are subject to the oversight, and review and comment as appropriate, of the Joint Bond Review Committee.”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color w:val="000000" w:themeColor="text1"/>
          <w:lang w:val="en-PH"/>
        </w:rPr>
        <w:t>B.</w:t>
      </w:r>
      <w:r w:rsidRPr="00216F6E">
        <w:rPr>
          <w:rFonts w:cs="Times New Roman"/>
          <w:color w:val="000000" w:themeColor="text1"/>
          <w:lang w:val="en-PH"/>
        </w:rPr>
        <w:tab/>
      </w:r>
      <w:r>
        <w:rPr>
          <w:rFonts w:cs="Times New Roman"/>
          <w:color w:val="000000" w:themeColor="text1"/>
          <w:lang w:val="en-PH"/>
        </w:rPr>
        <w:t xml:space="preserve"> </w:t>
      </w:r>
      <w:r w:rsidRPr="00216F6E">
        <w:rPr>
          <w:rFonts w:cs="Times New Roman"/>
          <w:color w:val="000000" w:themeColor="text1"/>
          <w:lang w:val="en-PH"/>
        </w:rPr>
        <w:t>1.</w:t>
      </w:r>
      <w:r w:rsidRPr="00216F6E">
        <w:rPr>
          <w:rFonts w:cs="Times New Roman"/>
          <w:color w:val="000000" w:themeColor="text1"/>
          <w:lang w:val="en-PH"/>
        </w:rPr>
        <w:tab/>
        <w:t>Notwithstanding the limitations prescribed by Section 12</w:t>
      </w:r>
      <w:r>
        <w:rPr>
          <w:rFonts w:cs="Times New Roman"/>
          <w:color w:val="000000" w:themeColor="text1"/>
          <w:lang w:val="en-PH"/>
        </w:rPr>
        <w:noBreakHyphen/>
      </w:r>
      <w:r w:rsidRPr="00216F6E">
        <w:rPr>
          <w:rFonts w:cs="Times New Roman"/>
          <w:color w:val="000000" w:themeColor="text1"/>
          <w:lang w:val="en-PH"/>
        </w:rPr>
        <w:t>6</w:t>
      </w:r>
      <w:r>
        <w:rPr>
          <w:rFonts w:cs="Times New Roman"/>
          <w:color w:val="000000" w:themeColor="text1"/>
          <w:lang w:val="en-PH"/>
        </w:rPr>
        <w:noBreakHyphen/>
      </w:r>
      <w:r w:rsidRPr="00216F6E">
        <w:rPr>
          <w:rFonts w:cs="Times New Roman"/>
          <w:color w:val="000000" w:themeColor="text1"/>
          <w:lang w:val="en-PH"/>
        </w:rPr>
        <w:t>3795(B)(5)(b), (c), and (d) in SECTION 1.</w:t>
      </w:r>
      <w:r>
        <w:rPr>
          <w:rFonts w:cs="Times New Roman"/>
          <w:color w:val="000000" w:themeColor="text1"/>
          <w:lang w:val="en-PH"/>
        </w:rPr>
        <w:t xml:space="preserve"> </w:t>
      </w:r>
      <w:r w:rsidRPr="00216F6E">
        <w:rPr>
          <w:rFonts w:cs="Times New Roman"/>
          <w:color w:val="000000" w:themeColor="text1"/>
          <w:lang w:val="en-PH"/>
        </w:rPr>
        <w:t>A., the General Assembly hereby provides a one</w:t>
      </w:r>
      <w:r>
        <w:rPr>
          <w:rFonts w:cs="Times New Roman"/>
          <w:color w:val="000000" w:themeColor="text1"/>
          <w:lang w:val="en-PH"/>
        </w:rPr>
        <w:noBreakHyphen/>
      </w:r>
      <w:r w:rsidRPr="00216F6E">
        <w:rPr>
          <w:rFonts w:cs="Times New Roman"/>
          <w:color w:val="000000" w:themeColor="text1"/>
          <w:lang w:val="en-PH"/>
        </w:rPr>
        <w:t xml:space="preserve">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 later than thirty days following </w:t>
      </w:r>
      <w:r w:rsidRPr="00216F6E">
        <w:rPr>
          <w:rFonts w:cs="Times New Roman"/>
          <w:color w:val="000000" w:themeColor="text1"/>
          <w:lang w:val="en-PH"/>
        </w:rPr>
        <w:lastRenderedPageBreak/>
        <w:t>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Pr>
          <w:rFonts w:cs="Times New Roman"/>
          <w:color w:val="000000" w:themeColor="text1"/>
          <w:lang w:val="en-PH"/>
        </w:rPr>
        <w:noBreakHyphen/>
      </w:r>
      <w:r w:rsidRPr="00216F6E">
        <w:rPr>
          <w:rFonts w:cs="Times New Roman"/>
          <w:color w:val="000000" w:themeColor="text1"/>
          <w:lang w:val="en-PH"/>
        </w:rPr>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Pr>
          <w:rFonts w:cs="Times New Roman"/>
          <w:color w:val="000000" w:themeColor="text1"/>
          <w:lang w:val="en-PH"/>
        </w:rPr>
        <w:noBreakHyphen/>
      </w:r>
      <w:r w:rsidRPr="00216F6E">
        <w:rPr>
          <w:rFonts w:cs="Times New Roman"/>
          <w:color w:val="000000" w:themeColor="text1"/>
          <w:lang w:val="en-PH"/>
        </w:rPr>
        <w:t>time authorization of South Carolina housing tax credits. Decisions made pursuant to this provision are final and are not subject to judicial or administrative review.</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2.</w:t>
      </w:r>
      <w:r w:rsidRPr="00216F6E">
        <w:rPr>
          <w:rFonts w:cs="Times New Roman"/>
          <w:lang w:val="en-PH"/>
        </w:rPr>
        <w:tab/>
      </w:r>
      <w:r>
        <w:rPr>
          <w:rFonts w:cs="Times New Roman"/>
          <w:lang w:val="en-PH"/>
        </w:rPr>
        <w:t xml:space="preserve"> </w:t>
      </w:r>
      <w:r w:rsidRPr="00216F6E">
        <w:rPr>
          <w:rFonts w:cs="Times New Roman"/>
          <w:lang w:val="en-PH"/>
        </w:rPr>
        <w:t>This subsection B takes effect upon approval by the Governor.</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C.</w:t>
      </w:r>
      <w:r w:rsidRPr="00216F6E">
        <w:rPr>
          <w:rFonts w:cs="Times New Roman"/>
          <w:lang w:val="en-PH"/>
        </w:rPr>
        <w:tab/>
        <w:t xml:space="preserve"> This SECTION takes effect upon approval by the Governor and first applies to tax years beginning after 2021.</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FE04C9"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State ceiling allocation</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SECTION</w:t>
      </w:r>
      <w:r w:rsidRPr="00216F6E">
        <w:rPr>
          <w:rFonts w:cs="Times New Roman"/>
          <w:lang w:val="en-PH"/>
        </w:rPr>
        <w:tab/>
        <w:t>2.</w:t>
      </w:r>
      <w:r w:rsidRPr="00216F6E">
        <w:rPr>
          <w:rFonts w:cs="Times New Roman"/>
          <w:lang w:val="en-PH"/>
        </w:rPr>
        <w:tab/>
        <w:t>Article 3, Chapter 11, Title 1 of the 1976 Code is amended to read: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216F6E">
        <w:rPr>
          <w:rFonts w:cs="Times New Roman"/>
          <w:lang w:val="en-PH"/>
        </w:rPr>
        <w:t>“Article 3</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lang w:val="en-PH"/>
        </w:rPr>
      </w:pPr>
      <w:r w:rsidRPr="00216F6E">
        <w:rPr>
          <w:rFonts w:cs="Times New Roman"/>
          <w:lang w:val="en-PH"/>
        </w:rPr>
        <w:t>Allocation of State Ceiling on Issuance of Private Activity Bonds</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500.</w:t>
      </w:r>
      <w:r w:rsidRPr="00216F6E">
        <w:rPr>
          <w:rFonts w:cs="Times New Roman"/>
          <w:lang w:val="en-PH"/>
        </w:rPr>
        <w:tab/>
        <w:t>The state ceiling on the issuance of private activity bonds as defined in Section 146 of the Internal Revenue Code of 1986 established in the act must be certified annually by the Secretary of the State Fiscal Accountability Authority (the state authority) based upon the provisions of the act. The secretary of the state authority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510.</w:t>
      </w:r>
      <w:r w:rsidRPr="00216F6E">
        <w:rPr>
          <w:rFonts w:cs="Times New Roman"/>
          <w:lang w:val="en-PH"/>
        </w:rPr>
        <w:tab/>
        <w:t>(A)</w:t>
      </w:r>
      <w:r w:rsidRPr="00216F6E">
        <w:rPr>
          <w:rFonts w:cs="Times New Roman"/>
          <w:lang w:val="en-PH"/>
        </w:rPr>
        <w:tab/>
        <w:t>The private activity bond limit for all issuing authorities must be allocated by the state authority in response to authorized requests as described in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530 by the issuing authorities, or as otherwise provided in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520(G).</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lastRenderedPageBreak/>
        <w:tab/>
        <w:t>(B)</w:t>
      </w:r>
      <w:r w:rsidRPr="00216F6E">
        <w:rPr>
          <w:rFonts w:cs="Times New Roman"/>
          <w:lang w:val="en-PH"/>
        </w:rPr>
        <w:tab/>
        <w:t>The aggregate private activity bond limit amount for all South Carolina issuing authorities is allocated initially to the State for further allocation within the limits prescribed herein.</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(C)</w:t>
      </w:r>
      <w:r w:rsidRPr="00216F6E">
        <w:rPr>
          <w:rFonts w:cs="Times New Roman"/>
          <w:lang w:val="en-PH"/>
        </w:rPr>
        <w:tab/>
        <w:t xml:space="preserve"> Nothing in this article or the State Ceiling Allocation Plan adopted pursuant to this article grants any rights to, or in the processes used in the allocation or disposition of, state ceiling. Decisions made pursuant to this article are final and are not subject to judicial or administrative review.</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520.</w:t>
      </w:r>
      <w:r w:rsidRPr="00216F6E">
        <w:rPr>
          <w:rFonts w:cs="Times New Roman"/>
          <w:lang w:val="en-PH"/>
        </w:rPr>
        <w:tab/>
        <w:t>(A)</w:t>
      </w:r>
      <w:r w:rsidRPr="00216F6E">
        <w:rPr>
          <w:rFonts w:cs="Times New Roman"/>
          <w:lang w:val="en-PH"/>
        </w:rPr>
        <w:tab/>
        <w:t xml:space="preserve"> 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w:t>
      </w:r>
      <w:r>
        <w:rPr>
          <w:rFonts w:cs="Times New Roman"/>
          <w:lang w:val="en-PH"/>
        </w:rPr>
        <w:t>-</w:t>
      </w:r>
      <w:r w:rsidRPr="00216F6E">
        <w:rPr>
          <w:rFonts w:cs="Times New Roman"/>
          <w:lang w:val="en-PH"/>
        </w:rPr>
        <w:t>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(B)</w:t>
      </w:r>
      <w:r w:rsidRPr="00216F6E">
        <w:rPr>
          <w:rFonts w:cs="Times New Roman"/>
          <w:lang w:val="en-PH"/>
        </w:rPr>
        <w:tab/>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(C)</w:t>
      </w:r>
      <w:r w:rsidRPr="00216F6E">
        <w:rPr>
          <w:rFonts w:cs="Times New Roman"/>
          <w:lang w:val="en-PH"/>
        </w:rPr>
        <w:tab/>
        <w:t>Notwithstanding the assigned percentages set forth in the allocation plan, the state authority may but need not reassign any state ceiling unused in prior periods as a supplement to and means to address demand for ceiling allocation in a subsequent period. Such reassignment may be made for any allocation category, notwithstanding its original assignment.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(D)</w:t>
      </w:r>
      <w:r w:rsidRPr="00216F6E">
        <w:rPr>
          <w:rFonts w:cs="Times New Roman"/>
          <w:lang w:val="en-PH"/>
        </w:rPr>
        <w:tab/>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lastRenderedPageBreak/>
        <w:tab/>
        <w:t>(E)</w:t>
      </w:r>
      <w:r w:rsidRPr="00216F6E">
        <w:rPr>
          <w:rFonts w:cs="Times New Roman"/>
          <w:lang w:val="en-PH"/>
        </w:rPr>
        <w:tab/>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Pr>
          <w:rFonts w:cs="Times New Roman"/>
          <w:lang w:val="en-PH"/>
        </w:rPr>
        <w:tab/>
        <w:t>(F)</w:t>
      </w:r>
      <w:r>
        <w:rPr>
          <w:rFonts w:cs="Times New Roman"/>
          <w:lang w:val="en-PH"/>
        </w:rPr>
        <w:tab/>
      </w:r>
      <w:r w:rsidRPr="00216F6E">
        <w:rPr>
          <w:rFonts w:cs="Times New Roman"/>
          <w:lang w:val="en-PH"/>
        </w:rPr>
        <w:t>Allocations of state ceiling to authorized requests must be made in accordance with the provisions of the allocation plan and policies and procedures adopted by the state authority.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(G)</w:t>
      </w:r>
      <w:r w:rsidRPr="00216F6E">
        <w:rPr>
          <w:rFonts w:cs="Times New Roman"/>
          <w:lang w:val="en-PH"/>
        </w:rPr>
        <w:tab/>
        <w:t>The state authority must determine the disposition of any remaining, unused state ceiling during the final period of the calendar year pursuant to a petition submitted in accordance with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530(D).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530.</w:t>
      </w:r>
      <w:r w:rsidRPr="00216F6E">
        <w:rPr>
          <w:rFonts w:cs="Times New Roman"/>
          <w:lang w:val="en-PH"/>
        </w:rPr>
        <w:tab/>
        <w:t>(A)</w:t>
      </w:r>
      <w:r w:rsidRPr="00216F6E">
        <w:rPr>
          <w:rFonts w:cs="Times New Roman"/>
          <w:lang w:val="en-PH"/>
        </w:rPr>
        <w:tab/>
        <w:t>For private activity bonds proposed for issue by other than state government issuing authorities, an authorized request is a request included in a petition to the state authority that a specific amount of the state ceiling be allocated to the bonds for which the petition is filed. The petition must be accompanied by: (i) a copy of the Inducement Contract, Inducement Resolution, or other comparable preliminary approval entered into or adopted by the issuing authority, if any, relating to the bonds, and (ii) such other supporting documentation as the state authority may by policy prescribe.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(B)</w:t>
      </w:r>
      <w:r w:rsidRPr="00216F6E">
        <w:rPr>
          <w:rFonts w:cs="Times New Roman"/>
          <w:lang w:val="en-PH"/>
        </w:rPr>
        <w:tab/>
        <w:t>For private activity bonds proposed for issue by any state government issuing authority, an authorized request is a request included in a petition to the state authority that a specific amount of the state ceiling be allocated to the bonds for which the petition is filed. The petition must be accompanied by: (i) a bond resolution or comparable action by the issuing authority authorizing the issuance of the bonds, and (ii) such other supporting documentation as the state authority may by policy prescribe.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(C)</w:t>
      </w:r>
      <w:r w:rsidRPr="00216F6E">
        <w:rPr>
          <w:rFonts w:cs="Times New Roman"/>
          <w:lang w:val="en-PH"/>
        </w:rPr>
        <w:tab/>
        <w:t xml:space="preserve">Each authorized request must demonstrate that the allocation amount requested constitutes all of the private activity bond financing </w:t>
      </w:r>
      <w:r w:rsidRPr="00216F6E">
        <w:rPr>
          <w:rFonts w:cs="Times New Roman"/>
          <w:lang w:val="en-PH"/>
        </w:rPr>
        <w:lastRenderedPageBreak/>
        <w:t>contemplated at the time for the project and any other facilities located at or used as a part of an integrated operation with the project.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(D)</w:t>
      </w:r>
      <w:r w:rsidRPr="00216F6E">
        <w:rPr>
          <w:rFonts w:cs="Times New Roman"/>
          <w:lang w:val="en-PH"/>
        </w:rPr>
        <w:tab/>
        <w:t>An issuing authority seeking an allocation of any remaining unused state ceiling for carry</w:t>
      </w:r>
      <w:r>
        <w:rPr>
          <w:rFonts w:cs="Times New Roman"/>
          <w:lang w:val="en-PH"/>
        </w:rPr>
        <w:noBreakHyphen/>
      </w:r>
      <w:r w:rsidRPr="00216F6E">
        <w:rPr>
          <w:rFonts w:cs="Times New Roman"/>
          <w:lang w:val="en-PH"/>
        </w:rPr>
        <w:t>forward designation must submit to the state authority a petition identifying the types of tax</w:t>
      </w:r>
      <w:r>
        <w:rPr>
          <w:rFonts w:cs="Times New Roman"/>
          <w:lang w:val="en-PH"/>
        </w:rPr>
        <w:noBreakHyphen/>
      </w:r>
      <w:r w:rsidRPr="00216F6E">
        <w:rPr>
          <w:rFonts w:cs="Times New Roman"/>
          <w:lang w:val="en-PH"/>
        </w:rPr>
        <w:t>exempt bonds to which the carry</w:t>
      </w:r>
      <w:r>
        <w:rPr>
          <w:rFonts w:cs="Times New Roman"/>
          <w:lang w:val="en-PH"/>
        </w:rPr>
        <w:noBreakHyphen/>
      </w:r>
      <w:r w:rsidRPr="00216F6E">
        <w:rPr>
          <w:rFonts w:cs="Times New Roman"/>
          <w:lang w:val="en-PH"/>
        </w:rPr>
        <w:t>forward designation will apply. The petition must be accompanied by such other supporting documentation as the state authority may by policy prescribe.  Such allocations are not subjected to the provisions of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520(D), (E), and (F).</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(E)</w:t>
      </w:r>
      <w:r w:rsidRPr="00216F6E">
        <w:rPr>
          <w:rFonts w:cs="Times New Roman"/>
          <w:lang w:val="en-PH"/>
        </w:rPr>
        <w:tab/>
        <w:t>Notwithstanding any other provision of this article, the state authority may disapprove, reduce, or defer any authorized request or petition for carryforward.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(F)</w:t>
      </w:r>
      <w:r w:rsidRPr="00216F6E">
        <w:rPr>
          <w:rFonts w:cs="Times New Roman"/>
          <w:lang w:val="en-PH"/>
        </w:rPr>
        <w:tab/>
        <w:t>The state authority must periodically furnish to the Joint Bond Review Committee a report of petitions received, along with their dispositions.</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540.</w:t>
      </w:r>
      <w:r w:rsidRPr="00216F6E">
        <w:rPr>
          <w:rFonts w:cs="Times New Roman"/>
          <w:lang w:val="en-PH"/>
        </w:rPr>
        <w:tab/>
        <w:t>Reserved.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550.</w:t>
      </w:r>
      <w:r w:rsidRPr="00216F6E">
        <w:rPr>
          <w:rFonts w:cs="Times New Roman"/>
          <w:lang w:val="en-PH"/>
        </w:rPr>
        <w:tab/>
        <w:t>(A)</w:t>
      </w:r>
      <w:r w:rsidRPr="00216F6E">
        <w:rPr>
          <w:rFonts w:cs="Times New Roman"/>
          <w:lang w:val="en-PH"/>
        </w:rPr>
        <w:tab/>
        <w:t>An allocation of the state ceiling approved by the state authority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secretary of the state authority.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(B)</w:t>
      </w:r>
      <w:r w:rsidRPr="00216F6E">
        <w:rPr>
          <w:rFonts w:cs="Times New Roman"/>
          <w:lang w:val="en-PH"/>
        </w:rPr>
        <w:tab/>
        <w:t>The chairman or other authorized official or agent of an issuing authority issuing any private activity bond for which a portion of the state ceiling has been allocated tentatively shall execute and deliver to the secretary of the state authority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form to be submitted to the Internal Revenue Service on the issue or it may be in the form of a letter which certifies the exact amount of bonds to be issued and the projected date of the issue.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lastRenderedPageBreak/>
        <w:tab/>
        <w:t>(C)</w:t>
      </w:r>
      <w:r w:rsidRPr="00216F6E">
        <w:rPr>
          <w:rFonts w:cs="Times New Roman"/>
          <w:lang w:val="en-PH"/>
        </w:rPr>
        <w:tab/>
        <w:t>In response to the issuing authority’s issue amount certificate required by subsection (B) of this section, the secretary of the state authority is authorized to issue and, as may be necessary, to revise a certificate making final the ceiling allocation previously approved by the state authority on a tentative basis, if the secretary of the state authority determines that: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(1)</w:t>
      </w:r>
      <w:r w:rsidRPr="00216F6E">
        <w:rPr>
          <w:rFonts w:cs="Times New Roman"/>
          <w:lang w:val="en-PH"/>
        </w:rPr>
        <w:tab/>
        <w:t>the issuing authority’s issue amount certificate specifies an amount not in excess of the approved tentative ceiling allocation amount;</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(2)</w:t>
      </w:r>
      <w:r w:rsidRPr="00216F6E">
        <w:rPr>
          <w:rFonts w:cs="Times New Roman"/>
          <w:lang w:val="en-PH"/>
        </w:rPr>
        <w:tab/>
        <w:t>the issue amount certificate was received prior to the issue date projected and that the certificate is dated not more than ten days prior to the issue date projected; provided, however, that if an issue amount certificate is dated more than ten days prior to the date of issue of the bonds, such certificate shall be void, and a new request must be provided to the secretary of the state authority prior to issuance of the bonds;</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(3)</w:t>
      </w:r>
      <w:r w:rsidRPr="00216F6E">
        <w:rPr>
          <w:rFonts w:cs="Times New Roman"/>
          <w:lang w:val="en-PH"/>
        </w:rPr>
        <w:tab/>
        <w:t>the issue date projected is within the time period approved previously for the tentative ceiling allocation; and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r>
      <w:r w:rsidRPr="00216F6E">
        <w:rPr>
          <w:rFonts w:cs="Times New Roman"/>
          <w:lang w:val="en-PH"/>
        </w:rPr>
        <w:tab/>
        <w:t>(4)</w:t>
      </w:r>
      <w:r w:rsidRPr="00216F6E">
        <w:rPr>
          <w:rFonts w:cs="Times New Roman"/>
          <w:lang w:val="en-PH"/>
        </w:rPr>
        <w:tab/>
        <w:t>the bonds when issued and combined with the total amount of bonds requiring a ceiling allocation included in issue amount certificates previously submitted to the state authority by issuing authorities do not exceed the state ceiling for the calendar year. Except under extraordinary circumstances, the secretary of the state authority shall issue this certificate within two business days following the date the issue amount certificate is received.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(D)</w:t>
      </w:r>
      <w:r w:rsidRPr="00216F6E">
        <w:rPr>
          <w:rFonts w:cs="Times New Roman"/>
          <w:lang w:val="en-PH"/>
        </w:rPr>
        <w:tab/>
        <w:t>In accordance with Section 149(e)(2)(F) of the Internal Revenue Code, the secretary of the state authority is designated as the state official responsible for certifying, if applicable, that certain bonds meet the requirements of Section 146 of the Internal Revenue Code relating to the volume cap on private activity bonds.</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(E)</w:t>
      </w:r>
      <w:r w:rsidRPr="00216F6E">
        <w:rPr>
          <w:rFonts w:cs="Times New Roman"/>
          <w:lang w:val="en-PH"/>
        </w:rPr>
        <w:tab/>
        <w:t>Any tentative or final state ceiling allocation granted by the state authority before the effective date of this act remains valid as an allocation of a portion of the volume cap for South Carolina provided under Section 146 of the Internal Revenue Code. The allocations expire in accordance with the law under which they were granted or extended and their validity may be extended or reinstated in accordance with the provisions of Sections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500 through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570.</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560.</w:t>
      </w:r>
      <w:r w:rsidRPr="00216F6E">
        <w:rPr>
          <w:rFonts w:cs="Times New Roman"/>
          <w:lang w:val="en-PH"/>
        </w:rPr>
        <w:tab/>
        <w:t>(A)</w:t>
      </w:r>
      <w:r w:rsidRPr="00216F6E">
        <w:rPr>
          <w:rFonts w:cs="Times New Roman"/>
          <w:lang w:val="en-PH"/>
        </w:rPr>
        <w:tab/>
        <w:t>Any state ceiling allocation approved by the state authority is valid only for the calendar year in which it is approved, unless eligible and approved for carry</w:t>
      </w:r>
      <w:r>
        <w:rPr>
          <w:rFonts w:cs="Times New Roman"/>
          <w:lang w:val="en-PH"/>
        </w:rPr>
        <w:noBreakHyphen/>
      </w:r>
      <w:r w:rsidRPr="00216F6E">
        <w:rPr>
          <w:rFonts w:cs="Times New Roman"/>
          <w:lang w:val="en-PH"/>
        </w:rPr>
        <w:t>forward election or unless specified differently in the certificates required by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550.</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(B)</w:t>
      </w:r>
      <w:r w:rsidRPr="00216F6E">
        <w:rPr>
          <w:rFonts w:cs="Times New Roman"/>
          <w:lang w:val="en-PH"/>
        </w:rPr>
        <w:tab/>
        <w:t>Unless eligible and approved for carry</w:t>
      </w:r>
      <w:r>
        <w:rPr>
          <w:rFonts w:cs="Times New Roman"/>
          <w:lang w:val="en-PH"/>
        </w:rPr>
        <w:noBreakHyphen/>
      </w:r>
      <w:r w:rsidRPr="00216F6E">
        <w:rPr>
          <w:rFonts w:cs="Times New Roman"/>
          <w:lang w:val="en-PH"/>
        </w:rPr>
        <w:t>forward election or unless specified differently in certificates required by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 xml:space="preserve">550, each state ceiling allocation expires automatically if the bonds for which the </w:t>
      </w:r>
      <w:r w:rsidRPr="00216F6E">
        <w:rPr>
          <w:rFonts w:cs="Times New Roman"/>
          <w:lang w:val="en-PH"/>
        </w:rPr>
        <w:lastRenderedPageBreak/>
        <w:t>allocation is made are not issued within ninety consecutive calendar days from the date the allocation is approved by the state authority.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(C)</w:t>
      </w:r>
      <w:r w:rsidRPr="00216F6E">
        <w:rPr>
          <w:rFonts w:cs="Times New Roman"/>
          <w:lang w:val="en-PH"/>
        </w:rPr>
        <w:tab/>
        <w:t>In response to a written request by the chairman or other duly authorized official or agent of an issuing authority, the state authority, acting during the period an approved allocation is valid, may but need not extend the period in which an allocation is valid in a single calendar year by thirty</w:t>
      </w:r>
      <w:r>
        <w:rPr>
          <w:rFonts w:cs="Times New Roman"/>
          <w:lang w:val="en-PH"/>
        </w:rPr>
        <w:noBreakHyphen/>
      </w:r>
      <w:r w:rsidRPr="00216F6E">
        <w:rPr>
          <w:rFonts w:cs="Times New Roman"/>
          <w:lang w:val="en-PH"/>
        </w:rPr>
        <w:t>one consecutive calendar days to a total of not more than one hundred twenty</w:t>
      </w:r>
      <w:r>
        <w:rPr>
          <w:rFonts w:cs="Times New Roman"/>
          <w:lang w:val="en-PH"/>
        </w:rPr>
        <w:noBreakHyphen/>
      </w:r>
      <w:r w:rsidRPr="00216F6E">
        <w:rPr>
          <w:rFonts w:cs="Times New Roman"/>
          <w:lang w:val="en-PH"/>
        </w:rPr>
        <w:t>one consecutive calendar days.</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(D)</w:t>
      </w:r>
      <w:r w:rsidRPr="00216F6E">
        <w:rPr>
          <w:rFonts w:cs="Times New Roman"/>
          <w:lang w:val="en-PH"/>
        </w:rPr>
        <w:tab/>
        <w:t>In response to a written request by the chairman or other authorized official or agent of an issuing authority, the state authority may but need not reinstate for a period of not more than thirty</w:t>
      </w:r>
      <w:r>
        <w:rPr>
          <w:rFonts w:cs="Times New Roman"/>
          <w:lang w:val="en-PH"/>
        </w:rPr>
        <w:noBreakHyphen/>
      </w:r>
      <w:r w:rsidRPr="00216F6E">
        <w:rPr>
          <w:rFonts w:cs="Times New Roman"/>
          <w:lang w:val="en-PH"/>
        </w:rPr>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previously submitted is still true and correct or a new authorized request must be submitted.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(E)</w:t>
      </w:r>
      <w:r w:rsidRPr="00216F6E">
        <w:rPr>
          <w:rFonts w:cs="Times New Roman"/>
          <w:lang w:val="en-PH"/>
        </w:rPr>
        <w:tab/>
        <w:t>A tentative ceiling allocation is canceled automatically if the chairman or other authorized official or agent of the issuing authority fails to deliver the issue amount certificate required by 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550 to the secretary of the state authority before the bonds for which the allocation is made are issued.</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(F)</w:t>
      </w:r>
      <w:r w:rsidRPr="00216F6E">
        <w:rPr>
          <w:rFonts w:cs="Times New Roman"/>
          <w:lang w:val="en-PH"/>
        </w:rPr>
        <w:tab/>
        <w:t>The chairman or other authorized official or agent of an issuing authority shall advise the secretary of the state authority in writing as soon as is practicable after a decision is made not to issue bonds for which a portion of the state ceiling has been allocated. All notices of relinquishment of ceiling allocations must be entered promptly in the state authority’s records by the secretary of the state authority.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(G)</w:t>
      </w:r>
      <w:r w:rsidRPr="00216F6E">
        <w:rPr>
          <w:rFonts w:cs="Times New Roman"/>
          <w:lang w:val="en-PH"/>
        </w:rPr>
        <w:tab/>
        <w:t>Ceiling allocations which are eligible and approved for carry</w:t>
      </w:r>
      <w:r>
        <w:rPr>
          <w:rFonts w:cs="Times New Roman"/>
          <w:lang w:val="en-PH"/>
        </w:rPr>
        <w:noBreakHyphen/>
      </w:r>
      <w:r w:rsidRPr="00216F6E">
        <w:rPr>
          <w:rFonts w:cs="Times New Roman"/>
          <w:lang w:val="en-PH"/>
        </w:rPr>
        <w:t>forward election are not subject to the validity limits of this section. The state authority shall join with the issuing authorities involved in carry</w:t>
      </w:r>
      <w:r>
        <w:rPr>
          <w:rFonts w:cs="Times New Roman"/>
          <w:lang w:val="en-PH"/>
        </w:rPr>
        <w:noBreakHyphen/>
      </w:r>
      <w:r w:rsidRPr="00216F6E">
        <w:rPr>
          <w:rFonts w:cs="Times New Roman"/>
          <w:lang w:val="en-PH"/>
        </w:rPr>
        <w:t>forward election statements to meet the requirements of the Internal Revenue Service.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570.</w:t>
      </w:r>
      <w:r w:rsidRPr="00216F6E">
        <w:rPr>
          <w:rFonts w:cs="Times New Roman"/>
          <w:lang w:val="en-PH"/>
        </w:rPr>
        <w:tab/>
        <w:t>The state authority may adopt policies and procedures necessary to implement and administer the provisions of this article. All such policies and procedures, and any changes thereto, are subject to review and comment by the Joint Bond Review Committee.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580.</w:t>
      </w:r>
      <w:r w:rsidRPr="00216F6E">
        <w:rPr>
          <w:rFonts w:cs="Times New Roman"/>
          <w:lang w:val="en-PH"/>
        </w:rPr>
        <w:tab/>
        <w:t xml:space="preserve">The State Fiscal Accountability Authority shall make quarterly payments on insurance contracts where the annual premium exceeds fifty thousand dollars. The board shall undertake necessary negotiations to implement this requirement. Where fees may </w:t>
      </w:r>
      <w:r w:rsidRPr="00216F6E">
        <w:rPr>
          <w:rFonts w:cs="Times New Roman"/>
          <w:lang w:val="en-PH"/>
        </w:rPr>
        <w:lastRenderedPageBreak/>
        <w:t>be incurred for quarterly rather than annual payments, the State Fiscal Accountability Authority shall determine whether the investment income opportunity is greater or less than proposed fees and shall make the decision which best benefits South Carolina.”</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FE04C9"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Repeal</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SECTION</w:t>
      </w:r>
      <w:r w:rsidRPr="00216F6E">
        <w:rPr>
          <w:rFonts w:cs="Times New Roman"/>
          <w:lang w:val="en-PH"/>
        </w:rPr>
        <w:tab/>
        <w:t>3.</w:t>
      </w:r>
      <w:r w:rsidRPr="00216F6E">
        <w:rPr>
          <w:rFonts w:cs="Times New Roman"/>
          <w:lang w:val="en-PH"/>
        </w:rPr>
        <w:tab/>
        <w:t>Section 1</w:t>
      </w:r>
      <w:r>
        <w:rPr>
          <w:rFonts w:cs="Times New Roman"/>
          <w:lang w:val="en-PH"/>
        </w:rPr>
        <w:noBreakHyphen/>
      </w:r>
      <w:r w:rsidRPr="00216F6E">
        <w:rPr>
          <w:rFonts w:cs="Times New Roman"/>
          <w:lang w:val="en-PH"/>
        </w:rPr>
        <w:t>11</w:t>
      </w:r>
      <w:r>
        <w:rPr>
          <w:rFonts w:cs="Times New Roman"/>
          <w:lang w:val="en-PH"/>
        </w:rPr>
        <w:noBreakHyphen/>
      </w:r>
      <w:r w:rsidRPr="00216F6E">
        <w:rPr>
          <w:rFonts w:cs="Times New Roman"/>
          <w:lang w:val="en-PH"/>
        </w:rPr>
        <w:t>370 of the 1976 Code is repealed.</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FE04C9"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Conflicting provisions</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SECTION</w:t>
      </w:r>
      <w:r w:rsidRPr="00216F6E">
        <w:rPr>
          <w:rFonts w:cs="Times New Roman"/>
          <w:lang w:val="en-PH"/>
        </w:rPr>
        <w:tab/>
        <w:t>4.</w:t>
      </w:r>
      <w:r w:rsidRPr="00216F6E">
        <w:rPr>
          <w:rFonts w:cs="Times New Roman"/>
          <w:lang w:val="en-PH"/>
        </w:rPr>
        <w:tab/>
        <w:t>The provisions of Article 3, Chapter 11, Title 1 of the 1976 Code relating to the allocation of state ceiling on issuance of private activity bonds, as amended in this act, shall control if there is any conflict with any other provision of law or regulation, specifically including Regulation 19</w:t>
      </w:r>
      <w:r>
        <w:rPr>
          <w:rFonts w:cs="Times New Roman"/>
          <w:lang w:val="en-PH"/>
        </w:rPr>
        <w:noBreakHyphen/>
      </w:r>
      <w:r w:rsidRPr="00216F6E">
        <w:rPr>
          <w:rFonts w:cs="Times New Roman"/>
          <w:lang w:val="en-PH"/>
        </w:rPr>
        <w:t xml:space="preserve">103. </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FE04C9"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Severability</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16F6E">
        <w:rPr>
          <w:rFonts w:cs="Times New Roman"/>
          <w:lang w:val="en-PH"/>
        </w:rPr>
        <w:t>SECTION</w:t>
      </w:r>
      <w:r w:rsidRPr="00216F6E">
        <w:rPr>
          <w:rFonts w:cs="Times New Roman"/>
          <w:lang w:val="en-PH"/>
        </w:rPr>
        <w:tab/>
        <w:t>5.</w:t>
      </w:r>
      <w:r w:rsidRPr="00216F6E">
        <w:rPr>
          <w:rFonts w:cs="Times New Roman"/>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620D1B" w:rsidRPr="00FE04C9"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Time effective</w:t>
      </w: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0D1B" w:rsidRPr="00216F6E"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F6E">
        <w:rPr>
          <w:rFonts w:cs="Times New Roman"/>
        </w:rPr>
        <w:t>SECTION</w:t>
      </w:r>
      <w:r w:rsidRPr="00216F6E">
        <w:rPr>
          <w:rFonts w:cs="Times New Roman"/>
        </w:rPr>
        <w:tab/>
        <w:t>6.</w:t>
      </w:r>
      <w:r w:rsidRPr="00216F6E">
        <w:rPr>
          <w:rFonts w:cs="Times New Roman"/>
        </w:rPr>
        <w:tab/>
      </w:r>
      <w:r w:rsidRPr="00216F6E">
        <w:rPr>
          <w:rFonts w:cs="Times New Roman"/>
          <w:lang w:val="en-PH"/>
        </w:rPr>
        <w:t>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0D1B" w:rsidRDefault="00620D1B"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620D1B" w:rsidRDefault="00620D1B" w:rsidP="00620D1B">
      <w:pPr>
        <w:jc w:val="both"/>
        <w:rPr>
          <w:color w:val="000000" w:themeColor="text1"/>
        </w:rPr>
      </w:pPr>
    </w:p>
    <w:p w:rsidR="00620D1B" w:rsidRDefault="00620D1B" w:rsidP="00620D1B">
      <w:pPr>
        <w:jc w:val="both"/>
        <w:rPr>
          <w:color w:val="000000" w:themeColor="text1"/>
        </w:rPr>
      </w:pPr>
      <w:r>
        <w:rPr>
          <w:color w:val="000000" w:themeColor="text1"/>
        </w:rPr>
        <w:t>Approved the 16</w:t>
      </w:r>
      <w:r w:rsidRPr="00273F82">
        <w:rPr>
          <w:color w:val="000000" w:themeColor="text1"/>
          <w:vertAlign w:val="superscript"/>
        </w:rPr>
        <w:t>th</w:t>
      </w:r>
      <w:r>
        <w:rPr>
          <w:color w:val="000000" w:themeColor="text1"/>
        </w:rPr>
        <w:t xml:space="preserve"> day of May, 2022. </w:t>
      </w:r>
    </w:p>
    <w:p w:rsidR="00620D1B" w:rsidRDefault="00620D1B" w:rsidP="00620D1B">
      <w:pPr>
        <w:jc w:val="center"/>
        <w:rPr>
          <w:color w:val="000000" w:themeColor="text1"/>
        </w:rPr>
      </w:pPr>
    </w:p>
    <w:p w:rsidR="00620D1B" w:rsidRDefault="00620D1B" w:rsidP="00620D1B">
      <w:pPr>
        <w:jc w:val="center"/>
        <w:rPr>
          <w:color w:val="000000" w:themeColor="text1"/>
        </w:rPr>
      </w:pPr>
      <w:r>
        <w:rPr>
          <w:color w:val="000000" w:themeColor="text1"/>
        </w:rPr>
        <w:t>__________</w:t>
      </w:r>
    </w:p>
    <w:p w:rsidR="00FD6F56" w:rsidRPr="007D7F8F" w:rsidRDefault="00FD6F56" w:rsidP="00620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D6F56" w:rsidRPr="007D7F8F" w:rsidSect="00FD6F56">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B6" w:rsidRDefault="002B3BB6" w:rsidP="007D5FAC">
      <w:r>
        <w:separator/>
      </w:r>
    </w:p>
  </w:endnote>
  <w:endnote w:type="continuationSeparator" w:id="0">
    <w:p w:rsidR="002B3BB6" w:rsidRDefault="002B3B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56" w:rsidRPr="00FD6F56" w:rsidRDefault="00FD6F56" w:rsidP="00FD6F5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20D1B">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56" w:rsidRDefault="00FD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B6" w:rsidRDefault="002B3BB6" w:rsidP="007D5FAC">
      <w:r>
        <w:separator/>
      </w:r>
    </w:p>
  </w:footnote>
  <w:footnote w:type="continuationSeparator" w:id="0">
    <w:p w:rsidR="002B3BB6" w:rsidRDefault="002B3B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075"/>
    <w:docVar w:name="ActSecretary" w:val="Downey"/>
    <w:docVar w:name="ActSIdno" w:val="(172)  5075DG22"/>
    <w:docVar w:name="clipname" w:val="5075DG22"/>
    <w:docVar w:name="dvBillNumber" w:val="5075"/>
    <w:docVar w:name="dvBillNumberPrefix" w:val="H"/>
    <w:docVar w:name="dvOriginalBody" w:val="House"/>
    <w:docVar w:name="HOUSEACTFULLPATH" w:val="L:\COUNCIL\ACTS\5075DG22.DOCX"/>
    <w:docVar w:name="OrigHOUSEBillNo" w:val="5075"/>
    <w:docVar w:name="WhatActtype" w:val="AN ACT"/>
  </w:docVars>
  <w:rsids>
    <w:rsidRoot w:val="002B3BB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9F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E6C09"/>
    <w:rsid w:val="001F1A6E"/>
    <w:rsid w:val="001F1CCC"/>
    <w:rsid w:val="001F36BF"/>
    <w:rsid w:val="001F729C"/>
    <w:rsid w:val="00200C6E"/>
    <w:rsid w:val="00204492"/>
    <w:rsid w:val="002068E6"/>
    <w:rsid w:val="00206EF4"/>
    <w:rsid w:val="00206FB0"/>
    <w:rsid w:val="00212CD6"/>
    <w:rsid w:val="00215235"/>
    <w:rsid w:val="00216D2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4A85"/>
    <w:rsid w:val="002A6880"/>
    <w:rsid w:val="002A79BE"/>
    <w:rsid w:val="002A7F6D"/>
    <w:rsid w:val="002B3BB6"/>
    <w:rsid w:val="002B787D"/>
    <w:rsid w:val="002C0E95"/>
    <w:rsid w:val="002C3DB3"/>
    <w:rsid w:val="002C4C93"/>
    <w:rsid w:val="002C6F67"/>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44DF2"/>
    <w:rsid w:val="00345BFB"/>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67E4E"/>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645"/>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0DB2"/>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D1B"/>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391C"/>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F8F"/>
    <w:rsid w:val="007E19E6"/>
    <w:rsid w:val="007E3A81"/>
    <w:rsid w:val="007F6631"/>
    <w:rsid w:val="007F6D46"/>
    <w:rsid w:val="007F7184"/>
    <w:rsid w:val="00800AD0"/>
    <w:rsid w:val="00804419"/>
    <w:rsid w:val="00805054"/>
    <w:rsid w:val="008066FB"/>
    <w:rsid w:val="00806F5B"/>
    <w:rsid w:val="00813E8E"/>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241"/>
    <w:rsid w:val="008B48BD"/>
    <w:rsid w:val="008C325E"/>
    <w:rsid w:val="008E03BA"/>
    <w:rsid w:val="008E5FD7"/>
    <w:rsid w:val="008F0C81"/>
    <w:rsid w:val="008F4CA1"/>
    <w:rsid w:val="008F510F"/>
    <w:rsid w:val="008F5F0A"/>
    <w:rsid w:val="008F7D5B"/>
    <w:rsid w:val="00900319"/>
    <w:rsid w:val="00906538"/>
    <w:rsid w:val="009076FA"/>
    <w:rsid w:val="00915A74"/>
    <w:rsid w:val="00916EE8"/>
    <w:rsid w:val="009254E2"/>
    <w:rsid w:val="00926C29"/>
    <w:rsid w:val="009329E4"/>
    <w:rsid w:val="00934A0A"/>
    <w:rsid w:val="00940A90"/>
    <w:rsid w:val="009434B9"/>
    <w:rsid w:val="009522F4"/>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3B88"/>
    <w:rsid w:val="00BE41F8"/>
    <w:rsid w:val="00BF1B60"/>
    <w:rsid w:val="00BF2034"/>
    <w:rsid w:val="00BF33CD"/>
    <w:rsid w:val="00BF352D"/>
    <w:rsid w:val="00BF5770"/>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64DB"/>
    <w:rsid w:val="00DE7CB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2848"/>
    <w:rsid w:val="00FA7E14"/>
    <w:rsid w:val="00FB1A6A"/>
    <w:rsid w:val="00FC380D"/>
    <w:rsid w:val="00FD0D70"/>
    <w:rsid w:val="00FD5B10"/>
    <w:rsid w:val="00FD6DC2"/>
    <w:rsid w:val="00FD6F56"/>
    <w:rsid w:val="00FD7AFA"/>
    <w:rsid w:val="00FE04C9"/>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FD7D354-A2C1-4ADE-8222-8507B3AD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D6F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E6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4DB"/>
    <w:rPr>
      <w:rFonts w:ascii="Segoe UI" w:hAnsi="Segoe UI" w:cs="Segoe UI"/>
      <w:sz w:val="18"/>
      <w:szCs w:val="18"/>
    </w:rPr>
  </w:style>
  <w:style w:type="table" w:styleId="TableGrid">
    <w:name w:val="Table Grid"/>
    <w:basedOn w:val="TableNormal"/>
    <w:uiPriority w:val="59"/>
    <w:rsid w:val="000C29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6F5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C5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303.docx" TargetMode="External"/><Relationship Id="rId13" Type="http://schemas.openxmlformats.org/officeDocument/2006/relationships/hyperlink" Target="file:///h:\sj\20220407.docx" TargetMode="External"/><Relationship Id="rId18" Type="http://schemas.openxmlformats.org/officeDocument/2006/relationships/hyperlink" Target="file:///h:\sj\20220420.docx" TargetMode="External"/><Relationship Id="rId26" Type="http://schemas.openxmlformats.org/officeDocument/2006/relationships/hyperlink" Target="file:///h:\sj\20220512.docx" TargetMode="External"/><Relationship Id="rId39" Type="http://schemas.openxmlformats.org/officeDocument/2006/relationships/hyperlink" Target="file:///p:\pprever\2021-22\5075_20220505.docx" TargetMode="External"/><Relationship Id="rId3" Type="http://schemas.openxmlformats.org/officeDocument/2006/relationships/settings" Target="settings.xml"/><Relationship Id="rId21" Type="http://schemas.openxmlformats.org/officeDocument/2006/relationships/hyperlink" Target="file:///h:\hj\20220504.docx" TargetMode="External"/><Relationship Id="rId34" Type="http://schemas.openxmlformats.org/officeDocument/2006/relationships/hyperlink" Target="file:///p:\pprever\2021-22\5075_20220413.docx" TargetMode="External"/><Relationship Id="rId42" Type="http://schemas.openxmlformats.org/officeDocument/2006/relationships/fontTable" Target="fontTable.xml"/><Relationship Id="rId7" Type="http://schemas.openxmlformats.org/officeDocument/2006/relationships/hyperlink" Target="file:///h:\hj\20220303.docx" TargetMode="External"/><Relationship Id="rId12" Type="http://schemas.openxmlformats.org/officeDocument/2006/relationships/hyperlink" Target="file:///h:\hj\20220406.docx" TargetMode="External"/><Relationship Id="rId17" Type="http://schemas.openxmlformats.org/officeDocument/2006/relationships/hyperlink" Target="file:///h:\sj\20220420.docx" TargetMode="External"/><Relationship Id="rId25" Type="http://schemas.openxmlformats.org/officeDocument/2006/relationships/hyperlink" Target="file:///h:\sj\20220510.docx" TargetMode="External"/><Relationship Id="rId33" Type="http://schemas.openxmlformats.org/officeDocument/2006/relationships/hyperlink" Target="file:///p:\pprever\2021-22\5075_20220412.docx" TargetMode="External"/><Relationship Id="rId38" Type="http://schemas.openxmlformats.org/officeDocument/2006/relationships/hyperlink" Target="file:///p:\pprever\2021-22\5075_20220504.docx" TargetMode="External"/><Relationship Id="rId2" Type="http://schemas.openxmlformats.org/officeDocument/2006/relationships/styles" Target="styles.xml"/><Relationship Id="rId16" Type="http://schemas.openxmlformats.org/officeDocument/2006/relationships/hyperlink" Target="file:///h:\sj\20220420.docx" TargetMode="External"/><Relationship Id="rId20" Type="http://schemas.openxmlformats.org/officeDocument/2006/relationships/hyperlink" Target="file:///h:\hj\20220427.docx" TargetMode="External"/><Relationship Id="rId29" Type="http://schemas.openxmlformats.org/officeDocument/2006/relationships/hyperlink" Target="file:///p:\pprever\2021-22\5075_20220331.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h:\sj\20220510.docx" TargetMode="External"/><Relationship Id="rId32" Type="http://schemas.openxmlformats.org/officeDocument/2006/relationships/hyperlink" Target="file:///p:\pprever\2021-22\5075_20220407.docx" TargetMode="External"/><Relationship Id="rId37" Type="http://schemas.openxmlformats.org/officeDocument/2006/relationships/hyperlink" Target="file:///p:\pprever\2021-22\5075_2022042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412.docx" TargetMode="External"/><Relationship Id="rId23" Type="http://schemas.openxmlformats.org/officeDocument/2006/relationships/hyperlink" Target="file:///h:\hj\20220504.docx" TargetMode="External"/><Relationship Id="rId28" Type="http://schemas.openxmlformats.org/officeDocument/2006/relationships/hyperlink" Target="file:///p:\pprever\2021-22\5075_20220303.docx" TargetMode="External"/><Relationship Id="rId36" Type="http://schemas.openxmlformats.org/officeDocument/2006/relationships/hyperlink" Target="file:///p:\pprever\2021-22\5075_20220421.docx" TargetMode="External"/><Relationship Id="rId10" Type="http://schemas.openxmlformats.org/officeDocument/2006/relationships/hyperlink" Target="file:///h:\hj\20220406.docx" TargetMode="External"/><Relationship Id="rId19" Type="http://schemas.openxmlformats.org/officeDocument/2006/relationships/hyperlink" Target="file:///h:\sj\20220421.docx" TargetMode="External"/><Relationship Id="rId31" Type="http://schemas.openxmlformats.org/officeDocument/2006/relationships/hyperlink" Target="file:///p:\pprever\2021-22\5075_20220406.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sj\20220407.docx" TargetMode="External"/><Relationship Id="rId22" Type="http://schemas.openxmlformats.org/officeDocument/2006/relationships/hyperlink" Target="file:///h:\hj\20220504.docx" TargetMode="External"/><Relationship Id="rId27" Type="http://schemas.openxmlformats.org/officeDocument/2006/relationships/hyperlink" Target="http://www.scstatehouse.gov/billsearch.php?billnumbers=5075&amp;session=124&amp;summary=B" TargetMode="External"/><Relationship Id="rId30" Type="http://schemas.openxmlformats.org/officeDocument/2006/relationships/hyperlink" Target="file:///p:\pprever\2021-22\5075_20220405.docx" TargetMode="External"/><Relationship Id="rId35" Type="http://schemas.openxmlformats.org/officeDocument/2006/relationships/hyperlink" Target="file:///p:\pprever\2021-22\5075_20220420.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29EF-51B3-4BDB-9893-D5DE4205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5075: Housing tax credit - South Carolina Legislature Online</dc:title>
  <dc:subject/>
  <dc:creator>Niki Downey</dc:creator>
  <cp:keywords/>
  <dc:description/>
  <cp:lastModifiedBy>Danny Crook</cp:lastModifiedBy>
  <cp:revision>2</cp:revision>
  <cp:lastPrinted>2022-05-11T13:25:00Z</cp:lastPrinted>
  <dcterms:created xsi:type="dcterms:W3CDTF">2022-06-10T20:13:00Z</dcterms:created>
  <dcterms:modified xsi:type="dcterms:W3CDTF">2022-06-10T20:13:00Z</dcterms:modified>
</cp:coreProperties>
</file>