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C04" w:rsidRDefault="00193C04" w:rsidP="00193C04">
      <w:pPr>
        <w:widowControl w:val="0"/>
        <w:jc w:val="center"/>
      </w:pPr>
      <w:r w:rsidRPr="00193C04">
        <w:rPr>
          <w:b/>
        </w:rPr>
        <w:t>South Carolina General Assembly</w:t>
      </w:r>
    </w:p>
    <w:p w:rsidR="00193C04" w:rsidRDefault="00193C04" w:rsidP="00193C04">
      <w:pPr>
        <w:widowControl w:val="0"/>
        <w:jc w:val="center"/>
      </w:pPr>
      <w:r>
        <w:t>124th Session, 2021-2022</w:t>
      </w:r>
    </w:p>
    <w:p w:rsidR="00193C04" w:rsidRDefault="00193C04" w:rsidP="00193C04">
      <w:pPr>
        <w:widowControl w:val="0"/>
        <w:jc w:val="left"/>
      </w:pPr>
    </w:p>
    <w:p w:rsidR="00193C04" w:rsidRDefault="00193C04" w:rsidP="00193C04">
      <w:pPr>
        <w:widowControl w:val="0"/>
        <w:jc w:val="left"/>
        <w:rPr>
          <w:b/>
        </w:rPr>
      </w:pPr>
      <w:r w:rsidRPr="00193C04">
        <w:rPr>
          <w:b/>
        </w:rPr>
        <w:t>S.</w:t>
      </w:r>
      <w:r>
        <w:rPr>
          <w:b/>
        </w:rPr>
        <w:t xml:space="preserve"> </w:t>
      </w:r>
      <w:r w:rsidRPr="00193C04">
        <w:rPr>
          <w:b/>
        </w:rPr>
        <w:t>601</w:t>
      </w:r>
    </w:p>
    <w:p w:rsidR="00193C04" w:rsidRDefault="00193C04" w:rsidP="00193C04">
      <w:pPr>
        <w:widowControl w:val="0"/>
        <w:jc w:val="left"/>
        <w:rPr>
          <w:b/>
        </w:rPr>
      </w:pPr>
    </w:p>
    <w:p w:rsidR="00193C04" w:rsidRDefault="00193C04" w:rsidP="00193C04">
      <w:pPr>
        <w:widowControl w:val="0"/>
        <w:jc w:val="left"/>
      </w:pPr>
      <w:r w:rsidRPr="00193C04">
        <w:rPr>
          <w:b/>
        </w:rPr>
        <w:t>STATUS INFORMATION</w:t>
      </w:r>
    </w:p>
    <w:p w:rsidR="00193C04" w:rsidRDefault="00193C04" w:rsidP="00193C04">
      <w:pPr>
        <w:widowControl w:val="0"/>
        <w:jc w:val="left"/>
      </w:pPr>
    </w:p>
    <w:p w:rsidR="00193C04" w:rsidRDefault="00193C04" w:rsidP="00193C04">
      <w:pPr>
        <w:widowControl w:val="0"/>
        <w:jc w:val="left"/>
      </w:pPr>
      <w:r>
        <w:t>Senate Resolution</w:t>
      </w:r>
    </w:p>
    <w:p w:rsidR="00193C04" w:rsidRDefault="00193C04" w:rsidP="00193C04">
      <w:pPr>
        <w:widowControl w:val="0"/>
        <w:jc w:val="left"/>
      </w:pPr>
      <w:r>
        <w:t>Sponsors: Senator Jackson</w:t>
      </w:r>
    </w:p>
    <w:p w:rsidR="00193C04" w:rsidRDefault="00193C04" w:rsidP="00193C04">
      <w:pPr>
        <w:widowControl w:val="0"/>
        <w:jc w:val="left"/>
      </w:pPr>
      <w:r>
        <w:t>Document Path: l:\council\bills\gm\24474sa21.docx</w:t>
      </w:r>
    </w:p>
    <w:p w:rsidR="00193C04" w:rsidRDefault="00193C04" w:rsidP="00193C04">
      <w:pPr>
        <w:widowControl w:val="0"/>
        <w:jc w:val="left"/>
      </w:pPr>
    </w:p>
    <w:p w:rsidR="00193C04" w:rsidRDefault="00193C04" w:rsidP="00193C04">
      <w:pPr>
        <w:widowControl w:val="0"/>
        <w:jc w:val="left"/>
      </w:pPr>
      <w:r>
        <w:t>Introduced in the Senate on February 23, 2021</w:t>
      </w:r>
    </w:p>
    <w:p w:rsidR="00193C04" w:rsidRDefault="00193C04" w:rsidP="00193C04">
      <w:pPr>
        <w:widowControl w:val="0"/>
        <w:jc w:val="left"/>
      </w:pPr>
      <w:r>
        <w:t>Adopted by the Senate on February 23, 2021</w:t>
      </w:r>
    </w:p>
    <w:p w:rsidR="00193C04" w:rsidRDefault="00193C04" w:rsidP="00193C04">
      <w:pPr>
        <w:widowControl w:val="0"/>
        <w:jc w:val="left"/>
      </w:pPr>
    </w:p>
    <w:p w:rsidR="00193C04" w:rsidRDefault="00193C04" w:rsidP="00193C04">
      <w:pPr>
        <w:widowControl w:val="0"/>
        <w:jc w:val="left"/>
      </w:pPr>
      <w:r>
        <w:t>Summary: 60th anniversary of March to the State House</w:t>
      </w:r>
    </w:p>
    <w:p w:rsidR="00193C04" w:rsidRDefault="00193C04" w:rsidP="00193C04">
      <w:pPr>
        <w:widowControl w:val="0"/>
        <w:jc w:val="left"/>
      </w:pPr>
    </w:p>
    <w:p w:rsidR="00193C04" w:rsidRDefault="00193C04" w:rsidP="00193C04">
      <w:pPr>
        <w:widowControl w:val="0"/>
        <w:jc w:val="left"/>
      </w:pPr>
    </w:p>
    <w:p w:rsidR="00193C04" w:rsidRDefault="00193C04" w:rsidP="00193C04">
      <w:pPr>
        <w:widowControl w:val="0"/>
        <w:tabs>
          <w:tab w:val="center" w:pos="590"/>
          <w:tab w:val="center" w:pos="1440"/>
          <w:tab w:val="left" w:pos="1872"/>
          <w:tab w:val="left" w:pos="9187"/>
        </w:tabs>
        <w:jc w:val="left"/>
      </w:pPr>
      <w:r w:rsidRPr="00193C04">
        <w:rPr>
          <w:b/>
        </w:rPr>
        <w:t>HISTORY OF LEGISLATIVE ACTIONS</w:t>
      </w:r>
    </w:p>
    <w:p w:rsidR="00193C04" w:rsidRDefault="00193C04" w:rsidP="00193C04">
      <w:pPr>
        <w:widowControl w:val="0"/>
        <w:tabs>
          <w:tab w:val="center" w:pos="590"/>
          <w:tab w:val="center" w:pos="1440"/>
          <w:tab w:val="left" w:pos="1872"/>
          <w:tab w:val="left" w:pos="9187"/>
        </w:tabs>
        <w:jc w:val="left"/>
      </w:pPr>
    </w:p>
    <w:p w:rsidR="00193C04" w:rsidRPr="00193C04" w:rsidRDefault="00193C04" w:rsidP="00193C04">
      <w:pPr>
        <w:widowControl w:val="0"/>
        <w:tabs>
          <w:tab w:val="center" w:pos="590"/>
          <w:tab w:val="center" w:pos="1440"/>
          <w:tab w:val="left" w:pos="1872"/>
          <w:tab w:val="left" w:pos="9187"/>
        </w:tabs>
        <w:jc w:val="left"/>
      </w:pPr>
      <w:r w:rsidRPr="00193C04">
        <w:rPr>
          <w:u w:val="single"/>
        </w:rPr>
        <w:tab/>
        <w:t>Date</w:t>
      </w:r>
      <w:r w:rsidRPr="00193C04">
        <w:rPr>
          <w:u w:val="single"/>
        </w:rPr>
        <w:tab/>
        <w:t>Body</w:t>
      </w:r>
      <w:r w:rsidRPr="00193C04">
        <w:rPr>
          <w:u w:val="single"/>
        </w:rPr>
        <w:tab/>
        <w:t>Action Description with journal page number</w:t>
      </w:r>
      <w:r w:rsidRPr="00193C04">
        <w:rPr>
          <w:u w:val="single"/>
        </w:rPr>
        <w:tab/>
      </w:r>
    </w:p>
    <w:p w:rsidR="00AB4F3F" w:rsidRDefault="00AB4F3F" w:rsidP="00AB4F3F">
      <w:pPr>
        <w:widowControl w:val="0"/>
        <w:tabs>
          <w:tab w:val="right" w:pos="1008"/>
          <w:tab w:val="left" w:pos="1152"/>
          <w:tab w:val="left" w:pos="1872"/>
          <w:tab w:val="left" w:pos="9187"/>
        </w:tabs>
        <w:ind w:left="2088" w:hanging="2088"/>
      </w:pPr>
      <w:r>
        <w:tab/>
        <w:t>2/23/2021</w:t>
      </w:r>
      <w:r>
        <w:tab/>
        <w:t>Senate</w:t>
      </w:r>
      <w:r>
        <w:tab/>
        <w:t>Introduced and adopted (</w:t>
      </w:r>
      <w:hyperlink r:id="rId7" w:history="1">
        <w:r w:rsidRPr="0026531C">
          <w:rPr>
            <w:rStyle w:val="Hyperlink"/>
          </w:rPr>
          <w:t>Senate Journal</w:t>
        </w:r>
        <w:r w:rsidRPr="0026531C">
          <w:rPr>
            <w:rStyle w:val="Hyperlink"/>
          </w:rPr>
          <w:noBreakHyphen/>
          <w:t>page 7</w:t>
        </w:r>
      </w:hyperlink>
      <w:r>
        <w:t>)</w:t>
      </w:r>
    </w:p>
    <w:p w:rsidR="00AB4F3F" w:rsidRDefault="00AB4F3F" w:rsidP="00AB4F3F">
      <w:pPr>
        <w:widowControl w:val="0"/>
        <w:tabs>
          <w:tab w:val="right" w:pos="1008"/>
          <w:tab w:val="left" w:pos="1152"/>
          <w:tab w:val="left" w:pos="1872"/>
          <w:tab w:val="left" w:pos="9187"/>
        </w:tabs>
        <w:ind w:left="2088" w:hanging="2088"/>
      </w:pPr>
    </w:p>
    <w:p w:rsidR="00193C04" w:rsidRDefault="00193C04" w:rsidP="00193C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3C04">
          <w:rPr>
            <w:rStyle w:val="Hyperlink"/>
          </w:rPr>
          <w:t>legislative information</w:t>
        </w:r>
      </w:hyperlink>
      <w:r>
        <w:t xml:space="preserve"> at the website</w:t>
      </w:r>
    </w:p>
    <w:p w:rsidR="00193C04" w:rsidRDefault="00193C04" w:rsidP="00193C04">
      <w:pPr>
        <w:widowControl w:val="0"/>
        <w:tabs>
          <w:tab w:val="right" w:pos="1008"/>
          <w:tab w:val="left" w:pos="1152"/>
          <w:tab w:val="left" w:pos="1872"/>
          <w:tab w:val="left" w:pos="9187"/>
        </w:tabs>
        <w:ind w:left="2088" w:hanging="2088"/>
        <w:jc w:val="left"/>
      </w:pPr>
    </w:p>
    <w:p w:rsidR="00193C04" w:rsidRPr="00193C04" w:rsidRDefault="00193C04" w:rsidP="00193C04">
      <w:pPr>
        <w:widowControl w:val="0"/>
        <w:tabs>
          <w:tab w:val="right" w:pos="1008"/>
          <w:tab w:val="left" w:pos="1152"/>
          <w:tab w:val="left" w:pos="1872"/>
          <w:tab w:val="left" w:pos="9187"/>
        </w:tabs>
        <w:ind w:left="2088" w:hanging="2088"/>
        <w:jc w:val="left"/>
      </w:pPr>
    </w:p>
    <w:p w:rsidR="00193C04" w:rsidRDefault="00193C04" w:rsidP="00193C04">
      <w:r w:rsidRPr="00193C04">
        <w:rPr>
          <w:b/>
        </w:rPr>
        <w:t>VERSIONS OF THIS BILL</w:t>
      </w:r>
    </w:p>
    <w:p w:rsidR="00193C04" w:rsidRDefault="00193C04" w:rsidP="00193C04"/>
    <w:p w:rsidR="00193C04" w:rsidRDefault="005D0B34" w:rsidP="00193C04">
      <w:hyperlink r:id="rId9" w:history="1">
        <w:r w:rsidR="00193C04">
          <w:rPr>
            <w:rStyle w:val="Hyperlink"/>
          </w:rPr>
          <w:t>2/23/2021</w:t>
        </w:r>
      </w:hyperlink>
    </w:p>
    <w:p w:rsidR="00193C04" w:rsidRDefault="00193C04" w:rsidP="00193C04"/>
    <w:p w:rsidR="00193C04" w:rsidRDefault="00193C04" w:rsidP="00193C04">
      <w:pPr>
        <w:sectPr w:rsidR="00193C04" w:rsidSect="00193C04">
          <w:pgSz w:w="12240" w:h="15840" w:code="1"/>
          <w:pgMar w:top="1080" w:right="1440" w:bottom="1080" w:left="1440" w:header="720" w:footer="720" w:gutter="0"/>
          <w:cols w:space="720"/>
          <w:noEndnote/>
          <w:docGrid w:linePitch="360"/>
        </w:sectPr>
      </w:pPr>
    </w:p>
    <w:p w:rsidR="00654206" w:rsidRDefault="006542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4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B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9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12F4">
        <w:rPr>
          <w:color w:val="000000" w:themeColor="text1"/>
          <w:u w:color="000000" w:themeColor="text1"/>
        </w:rPr>
        <w:t xml:space="preserve">TO RECOGNIZE AND </w:t>
      </w:r>
      <w:r>
        <w:rPr>
          <w:color w:val="000000" w:themeColor="text1"/>
          <w:u w:color="000000" w:themeColor="text1"/>
        </w:rPr>
        <w:t xml:space="preserve">HONOR </w:t>
      </w:r>
      <w:r w:rsidRPr="003A12F4">
        <w:rPr>
          <w:color w:val="000000" w:themeColor="text1"/>
          <w:u w:color="000000" w:themeColor="text1"/>
        </w:rPr>
        <w:t>THE COURAGEOUS, PATH</w:t>
      </w:r>
      <w:r w:rsidR="000B4EB0">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9C9" w:rsidRPr="003A12F4" w:rsidRDefault="009A6B61"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9C9" w:rsidRPr="003A12F4">
        <w:rPr>
          <w:color w:val="000000" w:themeColor="text1"/>
          <w:u w:color="000000" w:themeColor="text1"/>
        </w:rPr>
        <w:t>on March 2, 1961, more than three hundred college and high school students from Columbia, Charleston, Greenville, Orangeburg, Sumter, and other cities, and their adult advisors, joined in a planned march from Zion Baptist Church at 801 Washington Street to the South Carolina State House grounds. The protestors</w:t>
      </w:r>
      <w:r w:rsidR="000B4EB0">
        <w:rPr>
          <w:color w:val="000000" w:themeColor="text1"/>
          <w:u w:color="000000" w:themeColor="text1"/>
        </w:rPr>
        <w:t>’</w:t>
      </w:r>
      <w:r w:rsidR="00FD49C9" w:rsidRPr="003A12F4">
        <w:rPr>
          <w:color w:val="000000" w:themeColor="text1"/>
          <w:u w:color="000000" w:themeColor="text1"/>
        </w:rPr>
        <w:t xml:space="preserve"> stated purpose was “to submit a protest to the citizens of South Carolina and the state legislature </w:t>
      </w:r>
      <w:r w:rsidR="00FD49C9">
        <w:rPr>
          <w:color w:val="000000" w:themeColor="text1"/>
          <w:u w:color="000000" w:themeColor="text1"/>
        </w:rPr>
        <w:t xml:space="preserve">on </w:t>
      </w:r>
      <w:r w:rsidR="00FD49C9" w:rsidRPr="003A12F4">
        <w:rPr>
          <w:color w:val="000000" w:themeColor="text1"/>
          <w:u w:color="000000" w:themeColor="text1"/>
        </w:rPr>
        <w:t xml:space="preserve">our feelings and our dissatisfaction with the present condition of discriminatory actions against Negroes”;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the students walked peacefully and orderly in two</w:t>
      </w:r>
      <w:r w:rsidR="000B4EB0">
        <w:rPr>
          <w:color w:val="000000" w:themeColor="text1"/>
          <w:u w:color="000000" w:themeColor="text1"/>
        </w:rPr>
        <w:noBreakHyphen/>
      </w:r>
      <w:r w:rsidRPr="003A12F4">
        <w:rPr>
          <w:color w:val="000000" w:themeColor="text1"/>
          <w:u w:color="000000" w:themeColor="text1"/>
        </w:rPr>
        <w:t>wide columns from the church to the State House grounds and then around the capitol building that holds the governor</w:t>
      </w:r>
      <w:r w:rsidR="000B4EB0">
        <w:rPr>
          <w:color w:val="000000" w:themeColor="text1"/>
          <w:u w:color="000000" w:themeColor="text1"/>
        </w:rPr>
        <w:t>’</w:t>
      </w:r>
      <w:r w:rsidRPr="003A12F4">
        <w:rPr>
          <w:color w:val="000000" w:themeColor="text1"/>
          <w:u w:color="000000" w:themeColor="text1"/>
        </w:rPr>
        <w:t>s and legislators</w:t>
      </w:r>
      <w:r w:rsidR="000B4EB0">
        <w:rPr>
          <w:color w:val="000000" w:themeColor="text1"/>
          <w:u w:color="000000" w:themeColor="text1"/>
        </w:rPr>
        <w:t>’</w:t>
      </w:r>
      <w:r w:rsidRPr="003A12F4">
        <w:rPr>
          <w:color w:val="000000" w:themeColor="text1"/>
          <w:u w:color="000000" w:themeColor="text1"/>
        </w:rPr>
        <w:t xml:space="preserve"> offices. The march was originally planned as a silent protest, but, encouraged by Benedict College theology student David Carter, the students clapped and sang patriotic songs, such as “The Star</w:t>
      </w:r>
      <w:r w:rsidR="000B4EB0">
        <w:rPr>
          <w:color w:val="000000" w:themeColor="text1"/>
          <w:u w:color="000000" w:themeColor="text1"/>
        </w:rPr>
        <w:noBreakHyphen/>
      </w:r>
      <w:r w:rsidRPr="003A12F4">
        <w:rPr>
          <w:color w:val="000000" w:themeColor="text1"/>
          <w:u w:color="000000" w:themeColor="text1"/>
        </w:rPr>
        <w:t>Spangled Banner</w:t>
      </w:r>
      <w:r>
        <w:rPr>
          <w:color w:val="000000" w:themeColor="text1"/>
          <w:u w:color="000000" w:themeColor="text1"/>
        </w:rPr>
        <w:t>,</w:t>
      </w:r>
      <w:r w:rsidRPr="003A12F4">
        <w:rPr>
          <w:color w:val="000000" w:themeColor="text1"/>
          <w:u w:color="000000" w:themeColor="text1"/>
        </w:rPr>
        <w:t>” and religious songs</w:t>
      </w:r>
      <w:r>
        <w:rPr>
          <w:color w:val="000000" w:themeColor="text1"/>
          <w:u w:color="000000" w:themeColor="text1"/>
        </w:rPr>
        <w:t>,</w:t>
      </w:r>
      <w:r w:rsidRPr="003A12F4">
        <w:rPr>
          <w:color w:val="000000" w:themeColor="text1"/>
          <w:u w:color="000000" w:themeColor="text1"/>
        </w:rPr>
        <w:t xml:space="preserve"> such as the spiritual “We Shall Not Be Moved”;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lastRenderedPageBreak/>
        <w:t xml:space="preserve">Whereas, the students were directed </w:t>
      </w:r>
      <w:r w:rsidR="00382C46" w:rsidRPr="003A12F4">
        <w:rPr>
          <w:color w:val="000000" w:themeColor="text1"/>
          <w:u w:color="000000" w:themeColor="text1"/>
        </w:rPr>
        <w:t xml:space="preserve">by law enforcement officers </w:t>
      </w:r>
      <w:r w:rsidRPr="003A12F4">
        <w:rPr>
          <w:color w:val="000000" w:themeColor="text1"/>
          <w:u w:color="000000" w:themeColor="text1"/>
        </w:rPr>
        <w:t>to disband and leave the grounds and</w:t>
      </w:r>
      <w:r w:rsidR="00117801">
        <w:rPr>
          <w:color w:val="000000" w:themeColor="text1"/>
          <w:u w:color="000000" w:themeColor="text1"/>
        </w:rPr>
        <w:t xml:space="preserve"> were</w:t>
      </w:r>
      <w:r w:rsidRPr="003A12F4">
        <w:rPr>
          <w:color w:val="000000" w:themeColor="text1"/>
          <w:u w:color="000000" w:themeColor="text1"/>
        </w:rPr>
        <w:t xml:space="preserve"> threatened with arrest for breach of peace despite their peaceful and orderly demonstration.  When they declined to leave, police arrested one hundred ninety students</w:t>
      </w:r>
      <w:r w:rsidR="00117801">
        <w:rPr>
          <w:color w:val="000000" w:themeColor="text1"/>
          <w:u w:color="000000" w:themeColor="text1"/>
        </w:rPr>
        <w:t>.  O</w:t>
      </w:r>
      <w:r w:rsidRPr="003A12F4">
        <w:rPr>
          <w:color w:val="000000" w:themeColor="text1"/>
          <w:u w:color="000000" w:themeColor="text1"/>
        </w:rPr>
        <w:t>ne hundred eighty</w:t>
      </w:r>
      <w:r w:rsidR="000B4EB0">
        <w:rPr>
          <w:color w:val="000000" w:themeColor="text1"/>
          <w:u w:color="000000" w:themeColor="text1"/>
        </w:rPr>
        <w:noBreakHyphen/>
      </w:r>
      <w:r w:rsidRPr="003A12F4">
        <w:rPr>
          <w:color w:val="000000" w:themeColor="text1"/>
          <w:u w:color="000000" w:themeColor="text1"/>
        </w:rPr>
        <w:t>seven were tried in magistrate</w:t>
      </w:r>
      <w:r w:rsidR="000B4EB0">
        <w:rPr>
          <w:color w:val="000000" w:themeColor="text1"/>
          <w:u w:color="000000" w:themeColor="text1"/>
        </w:rPr>
        <w:t>’</w:t>
      </w:r>
      <w:r w:rsidRPr="003A12F4">
        <w:rPr>
          <w:color w:val="000000" w:themeColor="text1"/>
          <w:u w:color="000000" w:themeColor="text1"/>
        </w:rPr>
        <w:t>s court, convicted, and fined for a breach of peace, and the students appealed;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among the one hundred eighty</w:t>
      </w:r>
      <w:r w:rsidR="000B4EB0">
        <w:rPr>
          <w:color w:val="000000" w:themeColor="text1"/>
          <w:u w:color="000000" w:themeColor="text1"/>
        </w:rPr>
        <w:noBreakHyphen/>
      </w:r>
      <w:r w:rsidRPr="003A12F4">
        <w:rPr>
          <w:color w:val="000000" w:themeColor="text1"/>
          <w:u w:color="000000" w:themeColor="text1"/>
        </w:rPr>
        <w:t>seven defendants were NAACP leader and future South Carolina State Senator the Reverend Isaiah DeQuincey Newman; Dr. Benjamin J. Glover, pastor of Charleston</w:t>
      </w:r>
      <w:r w:rsidR="000B4EB0">
        <w:rPr>
          <w:color w:val="000000" w:themeColor="text1"/>
          <w:u w:color="000000" w:themeColor="text1"/>
        </w:rPr>
        <w:t>’</w:t>
      </w:r>
      <w:r w:rsidRPr="003A12F4">
        <w:rPr>
          <w:color w:val="000000" w:themeColor="text1"/>
          <w:u w:color="000000" w:themeColor="text1"/>
        </w:rPr>
        <w:t>s Mother Emanuel AME Church; future United States Congressman James E. Clyburn; future South Carolina State Representative Leola Robinson, then state NAACP Youth Council president; and the first named defendant, Benedict College student James Edwards, Jr.;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the United States Supreme Court heard the arguments in </w:t>
      </w:r>
      <w:r w:rsidRPr="003A12F4">
        <w:rPr>
          <w:i/>
          <w:color w:val="000000" w:themeColor="text1"/>
          <w:u w:color="000000" w:themeColor="text1"/>
        </w:rPr>
        <w:t>Edwards v. South Carolina</w:t>
      </w:r>
      <w:r w:rsidRPr="003A12F4">
        <w:rPr>
          <w:color w:val="000000" w:themeColor="text1"/>
          <w:u w:color="000000" w:themeColor="text1"/>
        </w:rPr>
        <w:t xml:space="preserve"> on December 13, 1962.  From Columbia to Washington, D. C., the students relied on the legal work of South Carolina attorneys Matthew J. Perry, Jr.; Lincoln C. Jenkins, Jr.; and Donald J. Sampson.  The case was argued before the United States Supreme Court by NAACP Legal Defense Fund Director Jack Greenberg, who said, “The </w:t>
      </w:r>
      <w:r w:rsidRPr="003A12F4">
        <w:rPr>
          <w:i/>
          <w:color w:val="000000" w:themeColor="text1"/>
          <w:u w:color="000000" w:themeColor="text1"/>
        </w:rPr>
        <w:t>Edwards</w:t>
      </w:r>
      <w:r w:rsidRPr="003A12F4">
        <w:rPr>
          <w:color w:val="000000" w:themeColor="text1"/>
          <w:u w:color="000000" w:themeColor="text1"/>
        </w:rPr>
        <w:t xml:space="preserve"> </w:t>
      </w:r>
      <w:r>
        <w:rPr>
          <w:color w:val="000000" w:themeColor="text1"/>
          <w:u w:color="000000" w:themeColor="text1"/>
        </w:rPr>
        <w:t>[tr</w:t>
      </w:r>
      <w:r w:rsidRPr="003A12F4">
        <w:rPr>
          <w:color w:val="000000" w:themeColor="text1"/>
          <w:u w:color="000000" w:themeColor="text1"/>
        </w:rPr>
        <w:t>ial</w:t>
      </w:r>
      <w:r>
        <w:rPr>
          <w:color w:val="000000" w:themeColor="text1"/>
          <w:u w:color="000000" w:themeColor="text1"/>
        </w:rPr>
        <w:t>]</w:t>
      </w:r>
      <w:r w:rsidRPr="003A12F4">
        <w:rPr>
          <w:color w:val="000000" w:themeColor="text1"/>
          <w:u w:color="000000" w:themeColor="text1"/>
        </w:rPr>
        <w:t xml:space="preserve"> record was indeed a jewel” because of the painstaking preparation and fearless, unrelenting courtroom work of Perry, Jenkins, and Sampson; and</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on February 25, 1963, in an 8 to 1 decision, the Court overturned the convictions and affirmed peaceful student demonstrations, concluding that the 1961 arrests of participants violated “constitutionally protected rights of free speech, free assembly and freedom to petition for redress of their grievances.”  The Court</w:t>
      </w:r>
      <w:r w:rsidR="000B4EB0">
        <w:rPr>
          <w:color w:val="000000" w:themeColor="text1"/>
          <w:u w:color="000000" w:themeColor="text1"/>
        </w:rPr>
        <w:t>’</w:t>
      </w:r>
      <w:r w:rsidRPr="003A12F4">
        <w:rPr>
          <w:color w:val="000000" w:themeColor="text1"/>
          <w:u w:color="000000" w:themeColor="text1"/>
        </w:rPr>
        <w:t xml:space="preserve">s landmark decision ruled that the 14th Amendment forbids a state “to make criminal the peaceful expression of unpopular views.”  Writing the decision, Justice Potter Stewart said, “The circumstances in this case reflect an exercise of these basic constitutional rights in their most pristine and classic form”;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in the months and years following the victory, civil rights attorneys relied on the </w:t>
      </w:r>
      <w:r w:rsidRPr="003A12F4">
        <w:rPr>
          <w:i/>
          <w:color w:val="000000" w:themeColor="text1"/>
          <w:u w:color="000000" w:themeColor="text1"/>
        </w:rPr>
        <w:t>Edwards</w:t>
      </w:r>
      <w:r w:rsidRPr="003A12F4">
        <w:rPr>
          <w:color w:val="000000" w:themeColor="text1"/>
          <w:u w:color="000000" w:themeColor="text1"/>
        </w:rPr>
        <w:t xml:space="preserve"> ruling to protect the constitutional rights of protestors throughout the country.  In the Birmingham, Alabama, campaign, Bull Connor</w:t>
      </w:r>
      <w:r w:rsidR="000B4EB0">
        <w:rPr>
          <w:color w:val="000000" w:themeColor="text1"/>
          <w:u w:color="000000" w:themeColor="text1"/>
        </w:rPr>
        <w:t>’</w:t>
      </w:r>
      <w:r w:rsidRPr="003A12F4">
        <w:rPr>
          <w:color w:val="000000" w:themeColor="text1"/>
          <w:u w:color="000000" w:themeColor="text1"/>
        </w:rPr>
        <w:t xml:space="preserve">s officers arrested the Reverend Fred Shuttlesworth and other citizens in the 1963 Good Friday parade, but the United States Supreme Court ruled, following </w:t>
      </w:r>
      <w:r w:rsidRPr="003A12F4">
        <w:rPr>
          <w:i/>
          <w:color w:val="000000" w:themeColor="text1"/>
          <w:u w:color="000000" w:themeColor="text1"/>
        </w:rPr>
        <w:t>Edwards</w:t>
      </w:r>
      <w:r w:rsidRPr="003A12F4">
        <w:rPr>
          <w:color w:val="000000" w:themeColor="text1"/>
          <w:u w:color="000000" w:themeColor="text1"/>
        </w:rPr>
        <w:t xml:space="preserve">, that it had “made clear” that such demonstrations were “entitled to First Amendment protection”; and  </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B61"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Whereas, on Sunday, March 10, 1963, in a jubilant event, about eight</w:t>
      </w:r>
      <w:r w:rsidR="00072930">
        <w:rPr>
          <w:color w:val="000000" w:themeColor="text1"/>
          <w:u w:color="000000" w:themeColor="text1"/>
        </w:rPr>
        <w:t>y</w:t>
      </w:r>
      <w:r w:rsidRPr="003A12F4">
        <w:rPr>
          <w:color w:val="000000" w:themeColor="text1"/>
          <w:u w:color="000000" w:themeColor="text1"/>
        </w:rPr>
        <w:t xml:space="preserve"> of the original protesters returned to Zion Baptist Church to celebrate their Supreme Court victory.  The Reverend Newman said, “While we have won, we mu</w:t>
      </w:r>
      <w:r>
        <w:rPr>
          <w:color w:val="000000" w:themeColor="text1"/>
          <w:u w:color="000000" w:themeColor="text1"/>
        </w:rPr>
        <w:t>st</w:t>
      </w:r>
      <w:r w:rsidR="00382C46">
        <w:rPr>
          <w:color w:val="000000" w:themeColor="text1"/>
          <w:u w:color="000000" w:themeColor="text1"/>
        </w:rPr>
        <w:t xml:space="preserve"> </w:t>
      </w:r>
      <w:r w:rsidRPr="003A12F4">
        <w:rPr>
          <w:color w:val="000000" w:themeColor="text1"/>
          <w:u w:color="000000" w:themeColor="text1"/>
        </w:rPr>
        <w:t>march again, and again, and again until the equality of man is recognized.”</w:t>
      </w:r>
      <w:r w:rsidR="009A6B61">
        <w:t xml:space="preserve">  Now, therefore,</w:t>
      </w: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6B61" w:rsidRDefault="009A6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C9" w:rsidRPr="003A12F4" w:rsidRDefault="009A6B61"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FD49C9" w:rsidRPr="003A12F4">
        <w:rPr>
          <w:color w:val="000000" w:themeColor="text1"/>
          <w:u w:color="000000" w:themeColor="text1"/>
        </w:rPr>
        <w:t>the members of the South Carolina Senate, by this resolution, recognize and honor the courageous, path</w:t>
      </w:r>
      <w:r w:rsidR="000B4EB0">
        <w:rPr>
          <w:color w:val="000000" w:themeColor="text1"/>
          <w:u w:color="000000" w:themeColor="text1"/>
        </w:rPr>
        <w:noBreakHyphen/>
      </w:r>
      <w:r w:rsidR="00FD49C9"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00FD49C9" w:rsidRPr="003A12F4">
        <w:rPr>
          <w:i/>
          <w:color w:val="000000" w:themeColor="text1"/>
          <w:u w:color="000000" w:themeColor="text1"/>
        </w:rPr>
        <w:t>Edwards v. South Carolina</w:t>
      </w:r>
      <w:r w:rsidR="00FD49C9"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sidR="00FD49C9">
        <w:rPr>
          <w:color w:val="000000" w:themeColor="text1"/>
          <w:u w:color="000000" w:themeColor="text1"/>
        </w:rPr>
        <w:t xml:space="preserve"> case</w:t>
      </w:r>
      <w:r w:rsidR="00FD49C9" w:rsidRPr="003A12F4">
        <w:rPr>
          <w:color w:val="000000" w:themeColor="text1"/>
          <w:u w:color="000000" w:themeColor="text1"/>
        </w:rPr>
        <w:t>.</w:t>
      </w:r>
    </w:p>
    <w:p w:rsidR="00FD49C9" w:rsidRPr="003A12F4"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B61" w:rsidRDefault="00FD49C9" w:rsidP="00FD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Be it further resolved that a copy of this resolution be provided to Columbia SC 63 and the University of South Carolina Center for Civil Rights History and Research</w:t>
      </w:r>
      <w:r>
        <w:rPr>
          <w:color w:val="000000" w:themeColor="text1"/>
          <w:u w:color="000000" w:themeColor="text1"/>
        </w:rPr>
        <w:t>.</w:t>
      </w:r>
    </w:p>
    <w:p w:rsidR="00F46D61" w:rsidRDefault="000B4E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C04" w:rsidRDefault="00193C04" w:rsidP="00193C04">
      <w:pPr>
        <w:suppressAutoHyphens/>
      </w:pPr>
    </w:p>
    <w:sectPr w:rsidR="00193C04" w:rsidSect="00193C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B61" w:rsidRDefault="009A6B61" w:rsidP="009F0C77">
      <w:r>
        <w:separator/>
      </w:r>
    </w:p>
  </w:endnote>
  <w:endnote w:type="continuationSeparator" w:id="0">
    <w:p w:rsidR="009A6B61" w:rsidRDefault="009A6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1383E6-5A31-4747-8E56-5A481DE461BA}"/>
    <w:embedBold r:id="rId2" w:fontKey="{4F01ACDA-601F-442C-AD75-616FCEFB83CA}"/>
    <w:embedItalic r:id="rId3" w:fontKey="{44C173CE-BB40-4427-9546-D0FFAC399B72}"/>
  </w:font>
  <w:font w:name="Calibri">
    <w:panose1 w:val="020F0502020204030204"/>
    <w:charset w:val="00"/>
    <w:family w:val="swiss"/>
    <w:pitch w:val="variable"/>
    <w:sig w:usb0="E0002EFF" w:usb1="C000247B" w:usb2="00000009" w:usb3="00000000" w:csb0="000001FF" w:csb1="00000000"/>
    <w:embedRegular r:id="rId4" w:fontKey="{A7813A56-4555-4586-BD89-3F0460A14E2E}"/>
  </w:font>
  <w:font w:name="Segoe UI">
    <w:panose1 w:val="020B0502040204020203"/>
    <w:charset w:val="00"/>
    <w:family w:val="swiss"/>
    <w:pitch w:val="variable"/>
    <w:sig w:usb0="E4002EFF" w:usb1="C000E47F" w:usb2="00000009" w:usb3="00000000" w:csb0="000001FF" w:csb1="00000000"/>
    <w:embedRegular r:id="rId5" w:fontKey="{093DFAE2-9A85-4108-9307-7ED90923E281}"/>
  </w:font>
  <w:font w:name="Cambria">
    <w:panose1 w:val="02040503050406030204"/>
    <w:charset w:val="00"/>
    <w:family w:val="roman"/>
    <w:pitch w:val="variable"/>
    <w:sig w:usb0="E00006FF" w:usb1="420024FF" w:usb2="02000000" w:usb3="00000000" w:csb0="0000019F" w:csb1="00000000"/>
    <w:embedRegular r:id="rId6" w:fontKey="{A3874C68-9209-403B-B087-4F1CD8C5EE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C04" w:rsidRPr="00654206" w:rsidRDefault="00193C04" w:rsidP="0065420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AB4F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B61" w:rsidRDefault="009A6B61" w:rsidP="009F0C77">
      <w:r>
        <w:separator/>
      </w:r>
    </w:p>
  </w:footnote>
  <w:footnote w:type="continuationSeparator" w:id="0">
    <w:p w:rsidR="009A6B61" w:rsidRDefault="009A6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4SA21"/>
    <w:docVar w:name="CoverBillType" w:val="r"/>
    <w:docVar w:name="DocPath" w:val="L:\Council\bills\GM\24474SA21.DOCX"/>
    <w:docVar w:name="dvBillNumber" w:val="601"/>
    <w:docVar w:name="dvBillNumberPrefix" w:val="S. "/>
    <w:docVar w:name="dvOriginalBody" w:val="Senate"/>
    <w:docVar w:name="dvSteno" w:val="GM"/>
    <w:docVar w:name="NameofBody" w:val="s"/>
    <w:docVar w:name="vGroup2" w:val="Council"/>
  </w:docVars>
  <w:rsids>
    <w:rsidRoot w:val="009A6B61"/>
    <w:rsid w:val="000263D9"/>
    <w:rsid w:val="00026C9A"/>
    <w:rsid w:val="00072930"/>
    <w:rsid w:val="000965A1"/>
    <w:rsid w:val="000B4EB0"/>
    <w:rsid w:val="000C487D"/>
    <w:rsid w:val="000E1785"/>
    <w:rsid w:val="000F39F2"/>
    <w:rsid w:val="001023A4"/>
    <w:rsid w:val="0010776B"/>
    <w:rsid w:val="00117801"/>
    <w:rsid w:val="0012175B"/>
    <w:rsid w:val="00133E66"/>
    <w:rsid w:val="00134ACF"/>
    <w:rsid w:val="00144E15"/>
    <w:rsid w:val="00193C04"/>
    <w:rsid w:val="001A4A62"/>
    <w:rsid w:val="001A681E"/>
    <w:rsid w:val="001D08F2"/>
    <w:rsid w:val="002037CA"/>
    <w:rsid w:val="002047A2"/>
    <w:rsid w:val="002321B6"/>
    <w:rsid w:val="0023696B"/>
    <w:rsid w:val="00250967"/>
    <w:rsid w:val="0026105A"/>
    <w:rsid w:val="002759C5"/>
    <w:rsid w:val="00277DEE"/>
    <w:rsid w:val="00280D88"/>
    <w:rsid w:val="00294ABE"/>
    <w:rsid w:val="002A3EB4"/>
    <w:rsid w:val="00325348"/>
    <w:rsid w:val="00382C46"/>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4206"/>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6B61"/>
    <w:rsid w:val="009B397B"/>
    <w:rsid w:val="009F0C77"/>
    <w:rsid w:val="009F4DD1"/>
    <w:rsid w:val="00A64E80"/>
    <w:rsid w:val="00A741D9"/>
    <w:rsid w:val="00A85589"/>
    <w:rsid w:val="00A9741D"/>
    <w:rsid w:val="00AB0576"/>
    <w:rsid w:val="00AB4F3F"/>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D61"/>
    <w:rsid w:val="00F50BAF"/>
    <w:rsid w:val="00F52C10"/>
    <w:rsid w:val="00F81FFD"/>
    <w:rsid w:val="00F85228"/>
    <w:rsid w:val="00F907F7"/>
    <w:rsid w:val="00FB6773"/>
    <w:rsid w:val="00FD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8EDBC-CFDB-460A-82A5-09C40B1D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2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C46"/>
    <w:rPr>
      <w:rFonts w:ascii="Segoe UI" w:eastAsia="Times New Roman" w:hAnsi="Segoe UI" w:cs="Segoe UI"/>
      <w:sz w:val="18"/>
      <w:szCs w:val="18"/>
    </w:rPr>
  </w:style>
  <w:style w:type="character" w:styleId="Hyperlink">
    <w:name w:val="Hyperlink"/>
    <w:basedOn w:val="DefaultParagraphFont"/>
    <w:uiPriority w:val="99"/>
    <w:unhideWhenUsed/>
    <w:rsid w:val="00193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1&amp;session=124&amp;summary=B" TargetMode="Externa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601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4B30C-53D0-45AC-AC06-A2AEC45F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601: Subject not yet available - South Carolina Legislature Online</dc:title>
  <dc:subject/>
  <dc:creator>Gail Moore</dc:creator>
  <cp:keywords/>
  <dc:description/>
  <cp:lastModifiedBy>S Wilson</cp:lastModifiedBy>
  <cp:revision>2</cp:revision>
  <cp:lastPrinted>2021-02-23T14:36:00Z</cp:lastPrinted>
  <dcterms:created xsi:type="dcterms:W3CDTF">2021-02-24T14:11:00Z</dcterms:created>
  <dcterms:modified xsi:type="dcterms:W3CDTF">2021-02-24T14:11:00Z</dcterms:modified>
</cp:coreProperties>
</file>