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4A5" w:rsidRDefault="006204A5" w:rsidP="006204A5">
      <w:pPr>
        <w:widowControl w:val="0"/>
        <w:jc w:val="center"/>
      </w:pPr>
      <w:r w:rsidRPr="006204A5">
        <w:rPr>
          <w:b/>
        </w:rPr>
        <w:t>South Carolina General Assembly</w:t>
      </w:r>
    </w:p>
    <w:p w:rsidR="006204A5" w:rsidRDefault="006204A5" w:rsidP="006204A5">
      <w:pPr>
        <w:widowControl w:val="0"/>
        <w:jc w:val="center"/>
      </w:pPr>
      <w:r>
        <w:t>124th Session, 2021-2022</w:t>
      </w:r>
    </w:p>
    <w:p w:rsidR="006204A5" w:rsidRDefault="006204A5" w:rsidP="006204A5">
      <w:pPr>
        <w:widowControl w:val="0"/>
      </w:pPr>
    </w:p>
    <w:p w:rsidR="006204A5" w:rsidRDefault="006204A5" w:rsidP="006204A5">
      <w:pPr>
        <w:widowControl w:val="0"/>
        <w:rPr>
          <w:b/>
        </w:rPr>
      </w:pPr>
      <w:r w:rsidRPr="006204A5">
        <w:rPr>
          <w:b/>
        </w:rPr>
        <w:t>S.</w:t>
      </w:r>
      <w:r>
        <w:rPr>
          <w:b/>
        </w:rPr>
        <w:t xml:space="preserve"> </w:t>
      </w:r>
      <w:r w:rsidRPr="006204A5">
        <w:rPr>
          <w:b/>
        </w:rPr>
        <w:t>79</w:t>
      </w:r>
    </w:p>
    <w:p w:rsidR="006204A5" w:rsidRDefault="006204A5" w:rsidP="006204A5">
      <w:pPr>
        <w:widowControl w:val="0"/>
        <w:rPr>
          <w:b/>
        </w:rPr>
      </w:pPr>
    </w:p>
    <w:p w:rsidR="006204A5" w:rsidRDefault="006204A5" w:rsidP="006204A5">
      <w:pPr>
        <w:widowControl w:val="0"/>
      </w:pPr>
      <w:r w:rsidRPr="006204A5">
        <w:rPr>
          <w:b/>
        </w:rPr>
        <w:t>STATUS INFORMATION</w:t>
      </w:r>
    </w:p>
    <w:p w:rsidR="006204A5" w:rsidRDefault="006204A5" w:rsidP="006204A5">
      <w:pPr>
        <w:widowControl w:val="0"/>
      </w:pPr>
    </w:p>
    <w:p w:rsidR="006204A5" w:rsidRDefault="006204A5" w:rsidP="006204A5">
      <w:pPr>
        <w:widowControl w:val="0"/>
      </w:pPr>
      <w:r>
        <w:t>General Bill</w:t>
      </w:r>
    </w:p>
    <w:p w:rsidR="006204A5" w:rsidRDefault="006204A5" w:rsidP="006204A5">
      <w:pPr>
        <w:widowControl w:val="0"/>
      </w:pPr>
      <w:r>
        <w:t>Sponsors: Senator Malloy</w:t>
      </w:r>
    </w:p>
    <w:p w:rsidR="006204A5" w:rsidRDefault="006204A5" w:rsidP="006204A5">
      <w:pPr>
        <w:widowControl w:val="0"/>
      </w:pPr>
      <w:r>
        <w:t>Document Path: l:\s-res\gm\048rest.kmm.gm.docx</w:t>
      </w:r>
    </w:p>
    <w:p w:rsidR="00423D4B" w:rsidRDefault="00423D4B" w:rsidP="006204A5">
      <w:pPr>
        <w:widowControl w:val="0"/>
      </w:pPr>
      <w:r>
        <w:t>Companion/Similar bill(s): 3773</w:t>
      </w:r>
    </w:p>
    <w:p w:rsidR="006204A5" w:rsidRDefault="006204A5" w:rsidP="006204A5">
      <w:pPr>
        <w:widowControl w:val="0"/>
      </w:pPr>
    </w:p>
    <w:p w:rsidR="000B55D2" w:rsidRDefault="000B55D2" w:rsidP="006204A5">
      <w:pPr>
        <w:widowControl w:val="0"/>
      </w:pPr>
      <w:r>
        <w:t>Introduced in the Senate on January 12, 2021</w:t>
      </w:r>
    </w:p>
    <w:p w:rsidR="000B55D2" w:rsidRPr="000B55D2" w:rsidRDefault="000B55D2" w:rsidP="006204A5">
      <w:pPr>
        <w:widowControl w:val="0"/>
      </w:pPr>
      <w:r>
        <w:t xml:space="preserve">Currently residing in the Senate Committee on </w:t>
      </w:r>
      <w:r w:rsidRPr="000B55D2">
        <w:rPr>
          <w:b/>
        </w:rPr>
        <w:t>Judiciary</w:t>
      </w:r>
    </w:p>
    <w:p w:rsidR="000B55D2" w:rsidRDefault="000B55D2" w:rsidP="006204A5">
      <w:pPr>
        <w:widowControl w:val="0"/>
      </w:pPr>
    </w:p>
    <w:p w:rsidR="006204A5" w:rsidRDefault="0047310E" w:rsidP="006204A5">
      <w:pPr>
        <w:widowControl w:val="0"/>
      </w:pPr>
      <w:r>
        <w:t>Summary: Fitness to stand trial, hearings</w:t>
      </w:r>
    </w:p>
    <w:p w:rsidR="006204A5" w:rsidRDefault="006204A5" w:rsidP="006204A5">
      <w:pPr>
        <w:widowControl w:val="0"/>
      </w:pPr>
    </w:p>
    <w:p w:rsidR="006204A5" w:rsidRDefault="006204A5" w:rsidP="006204A5">
      <w:pPr>
        <w:widowControl w:val="0"/>
      </w:pPr>
    </w:p>
    <w:p w:rsidR="006204A5" w:rsidRDefault="006204A5" w:rsidP="006204A5">
      <w:pPr>
        <w:widowControl w:val="0"/>
        <w:tabs>
          <w:tab w:val="center" w:pos="590"/>
          <w:tab w:val="center" w:pos="1440"/>
          <w:tab w:val="left" w:pos="1872"/>
          <w:tab w:val="left" w:pos="9187"/>
        </w:tabs>
      </w:pPr>
      <w:r w:rsidRPr="006204A5">
        <w:rPr>
          <w:b/>
        </w:rPr>
        <w:t>HISTORY OF LEGISLATIVE ACTIONS</w:t>
      </w:r>
    </w:p>
    <w:p w:rsidR="006204A5" w:rsidRDefault="006204A5" w:rsidP="006204A5">
      <w:pPr>
        <w:widowControl w:val="0"/>
        <w:tabs>
          <w:tab w:val="center" w:pos="590"/>
          <w:tab w:val="center" w:pos="1440"/>
          <w:tab w:val="left" w:pos="1872"/>
          <w:tab w:val="left" w:pos="9187"/>
        </w:tabs>
      </w:pPr>
    </w:p>
    <w:p w:rsidR="006204A5" w:rsidRPr="006204A5" w:rsidRDefault="006204A5" w:rsidP="006204A5">
      <w:pPr>
        <w:widowControl w:val="0"/>
        <w:tabs>
          <w:tab w:val="center" w:pos="590"/>
          <w:tab w:val="center" w:pos="1440"/>
          <w:tab w:val="left" w:pos="1872"/>
          <w:tab w:val="left" w:pos="9187"/>
        </w:tabs>
      </w:pPr>
      <w:r w:rsidRPr="006204A5">
        <w:rPr>
          <w:u w:val="single"/>
        </w:rPr>
        <w:tab/>
        <w:t>Date</w:t>
      </w:r>
      <w:r w:rsidRPr="006204A5">
        <w:rPr>
          <w:u w:val="single"/>
        </w:rPr>
        <w:tab/>
        <w:t>Body</w:t>
      </w:r>
      <w:r w:rsidRPr="006204A5">
        <w:rPr>
          <w:u w:val="single"/>
        </w:rPr>
        <w:tab/>
        <w:t>Action Description with journal page number</w:t>
      </w:r>
      <w:r w:rsidRPr="006204A5">
        <w:rPr>
          <w:u w:val="single"/>
        </w:rPr>
        <w:tab/>
      </w:r>
    </w:p>
    <w:p w:rsidR="00B40D5C" w:rsidRDefault="00B40D5C" w:rsidP="00B40D5C">
      <w:pPr>
        <w:widowControl w:val="0"/>
        <w:tabs>
          <w:tab w:val="right" w:pos="1008"/>
          <w:tab w:val="left" w:pos="1152"/>
          <w:tab w:val="left" w:pos="1872"/>
          <w:tab w:val="left" w:pos="9187"/>
        </w:tabs>
        <w:ind w:left="2088" w:hanging="2088"/>
      </w:pPr>
      <w:r>
        <w:tab/>
        <w:t>12/9/2020</w:t>
      </w:r>
      <w:r>
        <w:tab/>
        <w:t>Senate</w:t>
      </w:r>
      <w:r>
        <w:tab/>
        <w:t>Prefiled</w:t>
      </w:r>
    </w:p>
    <w:p w:rsidR="00B40D5C" w:rsidRDefault="00B40D5C" w:rsidP="00B40D5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34ADE">
        <w:rPr>
          <w:b/>
        </w:rPr>
        <w:t>Judiciary</w:t>
      </w:r>
    </w:p>
    <w:p w:rsidR="00B40D5C" w:rsidRDefault="00B40D5C" w:rsidP="00B40D5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34ADE">
          <w:rPr>
            <w:rStyle w:val="Hyperlink"/>
          </w:rPr>
          <w:t>Senate Journal</w:t>
        </w:r>
        <w:r w:rsidRPr="00234ADE">
          <w:rPr>
            <w:rStyle w:val="Hyperlink"/>
          </w:rPr>
          <w:noBreakHyphen/>
          <w:t>page 162</w:t>
        </w:r>
      </w:hyperlink>
      <w:r>
        <w:t>)</w:t>
      </w:r>
    </w:p>
    <w:p w:rsidR="00B40D5C" w:rsidRDefault="00B40D5C" w:rsidP="00B40D5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34ADE">
        <w:rPr>
          <w:b/>
        </w:rPr>
        <w:t>Judiciary</w:t>
      </w:r>
      <w:r>
        <w:t xml:space="preserve"> (</w:t>
      </w:r>
      <w:hyperlink r:id="rId7" w:history="1">
        <w:r w:rsidRPr="00234ADE">
          <w:rPr>
            <w:rStyle w:val="Hyperlink"/>
          </w:rPr>
          <w:t>Senate Journal</w:t>
        </w:r>
        <w:r w:rsidRPr="00234ADE">
          <w:rPr>
            <w:rStyle w:val="Hyperlink"/>
          </w:rPr>
          <w:noBreakHyphen/>
          <w:t>page 162</w:t>
        </w:r>
      </w:hyperlink>
      <w:r>
        <w:t>)</w:t>
      </w:r>
    </w:p>
    <w:p w:rsidR="00B40D5C" w:rsidRDefault="00B40D5C" w:rsidP="00B40D5C">
      <w:pPr>
        <w:widowControl w:val="0"/>
        <w:tabs>
          <w:tab w:val="right" w:pos="1008"/>
          <w:tab w:val="left" w:pos="1152"/>
          <w:tab w:val="left" w:pos="1872"/>
          <w:tab w:val="left" w:pos="9187"/>
        </w:tabs>
        <w:ind w:left="2088" w:hanging="2088"/>
      </w:pPr>
      <w:r>
        <w:tab/>
        <w:t>3/2/2022</w:t>
      </w:r>
      <w:r>
        <w:tab/>
        <w:t>Senate</w:t>
      </w:r>
      <w:r>
        <w:tab/>
        <w:t>Referred to Subcommittee:  Hutto (ch), Climer, McLeod, Adams, Garrett</w:t>
      </w:r>
    </w:p>
    <w:p w:rsidR="00B40D5C" w:rsidRDefault="00B40D5C" w:rsidP="00B40D5C">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234ADE">
        <w:rPr>
          <w:b/>
        </w:rPr>
        <w:t>Judiciary</w:t>
      </w:r>
      <w:r>
        <w:t xml:space="preserve"> (</w:t>
      </w:r>
      <w:hyperlink r:id="rId8" w:history="1">
        <w:r w:rsidRPr="00234ADE">
          <w:rPr>
            <w:rStyle w:val="Hyperlink"/>
          </w:rPr>
          <w:t>Senate Journal</w:t>
        </w:r>
        <w:r w:rsidRPr="00234ADE">
          <w:rPr>
            <w:rStyle w:val="Hyperlink"/>
          </w:rPr>
          <w:noBreakHyphen/>
          <w:t>page 8</w:t>
        </w:r>
      </w:hyperlink>
      <w:r>
        <w:t>)</w:t>
      </w:r>
    </w:p>
    <w:p w:rsidR="00B40D5C" w:rsidRDefault="00B40D5C" w:rsidP="00B40D5C">
      <w:pPr>
        <w:widowControl w:val="0"/>
        <w:tabs>
          <w:tab w:val="right" w:pos="1008"/>
          <w:tab w:val="left" w:pos="1152"/>
          <w:tab w:val="left" w:pos="1872"/>
          <w:tab w:val="left" w:pos="9187"/>
        </w:tabs>
        <w:ind w:left="2088" w:hanging="2088"/>
      </w:pPr>
      <w:r>
        <w:tab/>
        <w:t>4/12/2022</w:t>
      </w:r>
      <w:r>
        <w:tab/>
        <w:t>Senate</w:t>
      </w:r>
      <w:r>
        <w:tab/>
        <w:t xml:space="preserve">Recommitted to Committee on </w:t>
      </w:r>
      <w:r w:rsidRPr="00234ADE">
        <w:rPr>
          <w:b/>
        </w:rPr>
        <w:t>Judiciary</w:t>
      </w:r>
      <w:r>
        <w:t xml:space="preserve"> (</w:t>
      </w:r>
      <w:hyperlink r:id="rId9" w:history="1">
        <w:r w:rsidRPr="00234ADE">
          <w:rPr>
            <w:rStyle w:val="Hyperlink"/>
          </w:rPr>
          <w:t>Senate Journal</w:t>
        </w:r>
        <w:r w:rsidRPr="00234ADE">
          <w:rPr>
            <w:rStyle w:val="Hyperlink"/>
          </w:rPr>
          <w:noBreakHyphen/>
          <w:t>page 10</w:t>
        </w:r>
      </w:hyperlink>
      <w:r>
        <w:t>)</w:t>
      </w:r>
    </w:p>
    <w:p w:rsidR="00B40D5C" w:rsidRDefault="00B40D5C" w:rsidP="00B40D5C">
      <w:pPr>
        <w:widowControl w:val="0"/>
        <w:tabs>
          <w:tab w:val="right" w:pos="1008"/>
          <w:tab w:val="left" w:pos="1152"/>
          <w:tab w:val="left" w:pos="1872"/>
          <w:tab w:val="left" w:pos="9187"/>
        </w:tabs>
        <w:ind w:left="2088" w:hanging="2088"/>
      </w:pPr>
    </w:p>
    <w:p w:rsidR="006204A5" w:rsidRDefault="006204A5" w:rsidP="006204A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6204A5">
          <w:rPr>
            <w:rStyle w:val="Hyperlink"/>
          </w:rPr>
          <w:t>legislative information</w:t>
        </w:r>
      </w:hyperlink>
      <w:r>
        <w:t xml:space="preserve"> at the website</w:t>
      </w:r>
    </w:p>
    <w:p w:rsidR="006204A5" w:rsidRDefault="006204A5" w:rsidP="006204A5">
      <w:pPr>
        <w:widowControl w:val="0"/>
        <w:tabs>
          <w:tab w:val="right" w:pos="1008"/>
          <w:tab w:val="left" w:pos="1152"/>
          <w:tab w:val="left" w:pos="1872"/>
          <w:tab w:val="left" w:pos="9187"/>
        </w:tabs>
        <w:ind w:left="2088" w:hanging="2088"/>
      </w:pPr>
    </w:p>
    <w:p w:rsidR="006204A5" w:rsidRPr="006204A5" w:rsidRDefault="006204A5" w:rsidP="006204A5">
      <w:pPr>
        <w:widowControl w:val="0"/>
        <w:tabs>
          <w:tab w:val="right" w:pos="1008"/>
          <w:tab w:val="left" w:pos="1152"/>
          <w:tab w:val="left" w:pos="1872"/>
          <w:tab w:val="left" w:pos="9187"/>
        </w:tabs>
        <w:ind w:left="2088" w:hanging="2088"/>
      </w:pPr>
    </w:p>
    <w:p w:rsidR="006204A5" w:rsidRDefault="006204A5" w:rsidP="006204A5">
      <w:pPr>
        <w:widowControl w:val="0"/>
      </w:pPr>
      <w:r w:rsidRPr="006204A5">
        <w:rPr>
          <w:b/>
        </w:rPr>
        <w:t>VERSIONS OF THIS BILL</w:t>
      </w:r>
    </w:p>
    <w:p w:rsidR="006204A5" w:rsidRDefault="006204A5" w:rsidP="006204A5">
      <w:pPr>
        <w:widowControl w:val="0"/>
      </w:pPr>
    </w:p>
    <w:p w:rsidR="006204A5" w:rsidRDefault="000002EA" w:rsidP="006204A5">
      <w:pPr>
        <w:widowControl w:val="0"/>
      </w:pPr>
      <w:hyperlink r:id="rId11" w:history="1">
        <w:r w:rsidR="006204A5">
          <w:rPr>
            <w:rStyle w:val="Hyperlink"/>
          </w:rPr>
          <w:t>12/9/2020</w:t>
        </w:r>
      </w:hyperlink>
    </w:p>
    <w:p w:rsidR="006204A5" w:rsidRDefault="000002EA" w:rsidP="006204A5">
      <w:hyperlink r:id="rId12" w:history="1">
        <w:r w:rsidR="00021349" w:rsidRPr="00021349">
          <w:rPr>
            <w:rStyle w:val="Hyperlink"/>
          </w:rPr>
          <w:t>3/30/2022</w:t>
        </w:r>
      </w:hyperlink>
    </w:p>
    <w:p w:rsidR="00021349" w:rsidRDefault="00021349" w:rsidP="006204A5"/>
    <w:p w:rsidR="006204A5" w:rsidRDefault="006204A5" w:rsidP="006204A5">
      <w:pPr>
        <w:sectPr w:rsidR="006204A5" w:rsidSect="006204A5">
          <w:pgSz w:w="12240" w:h="15840" w:code="1"/>
          <w:pgMar w:top="1080" w:right="1440" w:bottom="1080" w:left="1440" w:header="720" w:footer="720" w:gutter="0"/>
          <w:cols w:space="720"/>
          <w:noEndnote/>
          <w:docGrid w:linePitch="360"/>
        </w:sect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21349" w:rsidRPr="008E3A7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8E3A79" w:rsidRDefault="00021349" w:rsidP="008E3A79">
      <w:pPr>
        <w:tabs>
          <w:tab w:val="right" w:pos="5933"/>
        </w:tabs>
        <w:suppressAutoHyphens/>
        <w:jc w:val="both"/>
        <w:rPr>
          <w:rFonts w:eastAsia="Times New Roman"/>
        </w:rPr>
      </w:pPr>
      <w:r>
        <w:rPr>
          <w:rFonts w:eastAsia="Times New Roman"/>
        </w:rPr>
        <w:tab/>
      </w:r>
      <w:r>
        <w:rPr>
          <w:rFonts w:eastAsia="Times New Roman"/>
          <w:b/>
          <w:sz w:val="36"/>
        </w:rPr>
        <w:t>S. 79</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546">
        <w:t>Senator Malloy</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021349" w:rsidRPr="008E3A7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8E3A7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79) </w:t>
      </w:r>
      <w:r w:rsidRPr="008E3A79">
        <w:rPr>
          <w:color w:val="000000" w:themeColor="text1"/>
          <w:u w:color="000000" w:themeColor="text1"/>
        </w:rPr>
        <w:t>to amend Section 44</w:t>
      </w:r>
      <w:r w:rsidRPr="008E3A79">
        <w:rPr>
          <w:color w:val="000000" w:themeColor="text1"/>
          <w:u w:color="000000" w:themeColor="text1"/>
        </w:rPr>
        <w:noBreakHyphen/>
        <w:t>23</w:t>
      </w:r>
      <w:r w:rsidRPr="008E3A79">
        <w:rPr>
          <w:color w:val="000000" w:themeColor="text1"/>
          <w:u w:color="000000" w:themeColor="text1"/>
        </w:rPr>
        <w:noBreakHyphen/>
        <w:t>430 of the 1976 Code, relating to hearings concerning a person’s fitness to stand trial, to extend the length of time certain persons unfit</w:t>
      </w:r>
      <w:r>
        <w:rPr>
          <w:rFonts w:eastAsia="Times New Roman"/>
        </w:rPr>
        <w:t>, etc., respectfully</w:t>
      </w:r>
    </w:p>
    <w:p w:rsidR="00021349" w:rsidRPr="008E3A7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the bill, as and if amended, page 2, by striking lines 22 and 23, as contained in SECTION 2, and inserting therein the following:</w:t>
      </w: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20DB">
        <w:tab/>
        <w:t>/</w:t>
      </w:r>
      <w:r w:rsidRPr="00E020DB">
        <w:tab/>
      </w:r>
      <w:r w:rsidRPr="00E020DB">
        <w:tab/>
      </w:r>
      <w:r w:rsidRPr="00E020DB">
        <w:rPr>
          <w:u w:val="single" w:color="000000" w:themeColor="text1"/>
        </w:rPr>
        <w:t xml:space="preserve">department has the discretion to provide the restoration treatment in a hospital or detention facility. Restoration treatment shall only occur in a detention facility with the consent and approval of the sheriff or local government, whichever has lawful custody of the detention facility. If the person is on bond, then the </w:t>
      </w:r>
      <w:r w:rsidRPr="00E020DB">
        <w:tab/>
      </w:r>
      <w:r w:rsidRPr="00E020DB">
        <w:tab/>
        <w:t>/</w:t>
      </w: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the bill further, as and if amended, beginning on page 2, by striking line 36 on page 2 through line 10 on page 3, as contained in SECTION 2, and inserting therein the following:</w:t>
      </w: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020DB">
        <w:rPr>
          <w:rFonts w:eastAsia="Times New Roman"/>
          <w:snapToGrid w:val="0"/>
          <w:szCs w:val="20"/>
        </w:rPr>
        <w:tab/>
        <w:t>/</w:t>
      </w:r>
      <w:r w:rsidRPr="00E020DB">
        <w:rPr>
          <w:rFonts w:eastAsia="Times New Roman"/>
          <w:snapToGrid w:val="0"/>
          <w:szCs w:val="20"/>
        </w:rPr>
        <w:tab/>
      </w:r>
      <w:r w:rsidRPr="00E020DB">
        <w:rPr>
          <w:rFonts w:eastAsia="Times New Roman"/>
          <w:snapToGrid w:val="0"/>
          <w:szCs w:val="20"/>
        </w:rPr>
        <w:tab/>
      </w:r>
      <w:r w:rsidRPr="00E020DB">
        <w:rPr>
          <w:rFonts w:eastAsia="Times New Roman"/>
          <w:szCs w:val="20"/>
          <w:u w:val="single"/>
        </w:rPr>
        <w:t>(C)</w:t>
      </w:r>
      <w:r w:rsidRPr="00E020DB">
        <w:rPr>
          <w:rFonts w:eastAsia="Times New Roman"/>
          <w:szCs w:val="20"/>
        </w:rPr>
        <w:tab/>
        <w:t xml:space="preserve">Persons against whom criminal charges are pending but who are not involuntarily committed following judicial admission proceedings shall be released </w:t>
      </w:r>
      <w:r w:rsidRPr="00E020DB">
        <w:rPr>
          <w:rFonts w:eastAsia="Times New Roman"/>
          <w:szCs w:val="20"/>
          <w:u w:val="single" w:color="000000" w:themeColor="text1"/>
        </w:rPr>
        <w:t xml:space="preserve">unless: (1) the person is charged with a violent crime </w:t>
      </w:r>
      <w:r w:rsidRPr="00E020DB">
        <w:rPr>
          <w:u w:val="single" w:color="000000" w:themeColor="text1"/>
        </w:rPr>
        <w:t>or (2) the person is charged with a non-violent crime and the solicitor files a motion to require bond for release.</w:t>
      </w:r>
      <w:r w:rsidRPr="00E020DB">
        <w:rPr>
          <w:rFonts w:eastAsia="Times New Roman"/>
          <w:szCs w:val="20"/>
          <w:u w:val="single" w:color="000000" w:themeColor="text1"/>
        </w:rPr>
        <w:t xml:space="preserve"> If the pending charge is a violent crime,</w:t>
      </w:r>
      <w:r w:rsidRPr="00E020DB">
        <w:rPr>
          <w:u w:val="single" w:color="000000" w:themeColor="text1"/>
        </w:rPr>
        <w:t xml:space="preserve"> </w:t>
      </w:r>
      <w:r w:rsidRPr="00E020DB">
        <w:rPr>
          <w:rFonts w:eastAsia="Times New Roman"/>
          <w:szCs w:val="20"/>
          <w:u w:val="single" w:color="000000" w:themeColor="text1"/>
        </w:rPr>
        <w:t xml:space="preserve">a hearing must be held by the court in which the charges are pending, prior to release, on the issue </w:t>
      </w:r>
      <w:r w:rsidRPr="00E020DB">
        <w:rPr>
          <w:rFonts w:eastAsia="Times New Roman"/>
          <w:szCs w:val="20"/>
          <w:u w:val="single" w:color="000000" w:themeColor="text1"/>
        </w:rPr>
        <w:lastRenderedPageBreak/>
        <w:t>of whether the person shall be released on bond with terms and conditions appropriate for the safety of the community and the well</w:t>
      </w:r>
      <w:r w:rsidRPr="00E020DB">
        <w:rPr>
          <w:rFonts w:eastAsia="Times New Roman"/>
          <w:szCs w:val="20"/>
          <w:u w:val="single" w:color="000000" w:themeColor="text1"/>
        </w:rPr>
        <w:noBreakHyphen/>
        <w:t xml:space="preserve">being of the person. </w:t>
      </w:r>
      <w:r w:rsidRPr="00E020DB">
        <w:rPr>
          <w:u w:val="single" w:color="000000" w:themeColor="text1"/>
        </w:rPr>
        <w:t>If the pending charge is a non-violent crime, and the solicitor files a motion to require bond for release, a hearing may be held by the court in which the charges are pending to determine whether the person poses such a risk of danger to the community that he must not be released without bond. In addition to a</w:t>
      </w:r>
      <w:r w:rsidRPr="00E020DB">
        <w:rPr>
          <w:rFonts w:eastAsia="Times New Roman"/>
          <w:szCs w:val="20"/>
          <w:u w:val="single" w:color="000000" w:themeColor="text1"/>
        </w:rPr>
        <w:t xml:space="preserve">ny terms or conditions </w:t>
      </w:r>
      <w:r w:rsidRPr="00E020DB">
        <w:rPr>
          <w:u w:val="single" w:color="000000" w:themeColor="text1"/>
        </w:rPr>
        <w:t xml:space="preserve">of bond allowed under Section 17-15-10, the court must include terms or conditions of bond that are </w:t>
      </w:r>
      <w:r w:rsidRPr="00E020DB">
        <w:rPr>
          <w:rFonts w:eastAsia="Times New Roman"/>
          <w:szCs w:val="20"/>
          <w:u w:val="single" w:color="000000" w:themeColor="text1"/>
        </w:rPr>
        <w:t>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the abstaining from alcohol or illegal drug use, and a requirement that the person comply with random or scheduled drug screens to insure sobriety and medication compliance. For purposes of this subsection, ‘violent crime’ means any offense included in Section 16</w:t>
      </w:r>
      <w:r w:rsidRPr="00E020DB">
        <w:rPr>
          <w:rFonts w:eastAsia="Times New Roman"/>
          <w:szCs w:val="20"/>
          <w:u w:val="single" w:color="000000" w:themeColor="text1"/>
        </w:rPr>
        <w:noBreakHyphen/>
        <w:t>1</w:t>
      </w:r>
      <w:r w:rsidRPr="00E020DB">
        <w:rPr>
          <w:rFonts w:eastAsia="Times New Roman"/>
          <w:szCs w:val="20"/>
          <w:u w:val="single" w:color="000000" w:themeColor="text1"/>
        </w:rPr>
        <w:noBreakHyphen/>
        <w:t>60</w:t>
      </w:r>
      <w:r w:rsidRPr="00E020DB">
        <w:rPr>
          <w:rFonts w:eastAsia="Times New Roman"/>
          <w:szCs w:val="20"/>
        </w:rPr>
        <w:t>.”</w:t>
      </w:r>
      <w:r w:rsidRPr="00E020DB">
        <w:rPr>
          <w:rFonts w:eastAsia="Times New Roman"/>
          <w:szCs w:val="20"/>
        </w:rPr>
        <w:tab/>
      </w:r>
      <w:r w:rsidRPr="00E020DB">
        <w:rPr>
          <w:rFonts w:eastAsia="Times New Roman"/>
          <w:szCs w:val="20"/>
        </w:rPr>
        <w:tab/>
        <w:t>/</w:t>
      </w: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Renumber sections to conform.</w:t>
      </w:r>
    </w:p>
    <w:p w:rsidR="0002134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title to conform.</w:t>
      </w:r>
    </w:p>
    <w:p w:rsidR="00021349" w:rsidRPr="00E020DB"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021349" w:rsidRPr="008E3A7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8E3A79"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1517F">
        <w:rPr>
          <w:b/>
          <w:bCs/>
        </w:rPr>
        <w:t>Explanation of Fiscal Impact</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517F">
        <w:rPr>
          <w:b/>
        </w:rPr>
        <w:t>State Expenditure</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This bill establishes restoration treatment as an option for individuals who are found unfit to stand trial, but who are likely to become fit in the foreseeable future. Currently, if an individual is found to be unfit to stand trial but likely to be fit in the foreseeable future, the individual is hospitalized for up to 60 days. After this 60-day period, if the individual is still found to be unfit to stand trial, the solicitor responsible for prosecution shall initiate judicial admission proceedings to have the individual involuntarily hospitalized. This bill will allow these individuals to undergo restoration treatment provided by DMH for up to 180 days. This bill also gives DMH the discretion to provide restoration treatment at a hospital or detention facility if an individual is detained, or in a hospital or outpatient basis if the individual is on bond.</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 xml:space="preserve">Department of Mental Health. </w:t>
      </w:r>
      <w:r w:rsidRPr="0081517F">
        <w:t xml:space="preserve">DMH uses a statewide network of community mental health centers, clinics, hospitals, and nursing homes to support the recovery of people with mental illness. This bill extends the period of restoration treatment from 60 days to 180 days. DMH estimates this will have an undetermined fiscal impact on the department. According to DMH, under normal operations prior to the COVID-19 pandemic, there were an average of thirty patients receiving restoration treatment at the department’s G. Werber Bryan Psychiatric Hospital. DMH indicates the cost to provide restoration treatment services at the department’s psychiatric hospital is approximately $650 per day per patient. Currently, when a patient completes the 60-day period for treatment and is found still unfit to stand trial, the patient is recommitted to DMH and treated in a separate section of the hospital devoted to long-term patients. DMH reports that between January 1, 2020, and February 1, 2021, 44 percent of patients who completed the 60-day treatment were found still unfit to stand trial. The average stay of long-term patients is 1,400 days. Based on their research, DMH estimates the proposed extension of the treatment period could reduce the current recommitment rate of 44 percent to 25 percent or lower, which could result in a reduction of 35 patient recommitments annually. DMH anticipates that over time the reduction in long-term patients will increase the capacity available for restoration treatment.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This bill gives DMH the discretion to provide restoration treatment for individuals who are detained in a hospital setting, detention facility, or out-patient basis, dependent upon the individual’s circumstances. While this is an expansion of DMH’s restoration treatment services, DMH indicates providing treatment in detention centers or on an out-patient basis would result in lower cost treatment compared to services provided at their psychiatric hospital and would also allow the department to more timely admit individuals requiring treatment in a hospital setting who are waiting for a bed. Based on information from other states, DMH estimates the cost to provide jail-based restoration treatment could range from $150 to $250 per patient per day. This cost per day estimate would provide for 2.5 FTEs including a part-time psychiatrist, a full-time psychologist, and a full-time social work counselor. This amount also includes an estimate for other operating expenses, such as overhead charged by the detention center for use of its space, security, and other medical services. DMH estimates program participation of 20 patients at a time for 365 days, resulting in 7,300 patient service days. Providing 7,300 patient service days at $150 per patient per day would cost $1,095,000 annually, while providing 7,300 patient service days at $250 per patient per day would cost $1,825,000 annually.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DMH estimates the cost to provide treatment in the community for individuals out on bond to be $100 per day, based on information from other states. This per day cost estimate would provide for 1.0 FTE including a part-time psychiatrist and a part-time psychologist. DMH estimates program participation of 10 patients at a time for a full year excluding weekends and holidays, or 250 days, resulting in 2,500 patient service days. Providing 2,500 patient service days at $100 per patient per day would cost $250,000 annually.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In summary, DMH estimates the cost to expand restoration treatment to include jail-based and community-based programs could increase </w:t>
      </w:r>
      <w:r>
        <w:t>g</w:t>
      </w:r>
      <w:r w:rsidRPr="0081517F">
        <w:t xml:space="preserve">eneral </w:t>
      </w:r>
      <w:r>
        <w:t>f</w:t>
      </w:r>
      <w:r w:rsidRPr="0081517F">
        <w:t xml:space="preserve">und expenditures by as much as $2,075,000 annually beginning in FY 2022-23.  As noted, increasing the treatment period from 60 days to 180 days could reduce the number of long-term patients treated by the department and increase the department’s capacity to provide restoration treatment. However, the fiscal impact of this shift in patients from treatment in inpatient facilities to a jail or community-based program cannot be determined at this time, and will depend on the treatment outcomes of patients.  Therefore, the impact of all these changes to DMH’s responsibilities is undetermined.  Additionally, DMH indicates this bill may have an expenditure impact to </w:t>
      </w:r>
      <w:r>
        <w:t>other or federal f</w:t>
      </w:r>
      <w:r w:rsidRPr="0081517F">
        <w:t>unds. DMH is working to provide additional information relative to this potential impact. We will update this response if additional information becomes available.</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Judicial.</w:t>
      </w:r>
      <w:r w:rsidRPr="0081517F">
        <w:t xml:space="preserve"> The bill provides that a hearing shall be held to determine whether a person should be released on bond, the terms of which must be therapeutic in nature. Judicial indicates that implementation of the bill would cause a delay in general sessions courts. There is no data to estimate the number of filings, hearings, or trials that may be impacted. However, Judicial intends to use existing </w:t>
      </w:r>
      <w:r>
        <w:t>g</w:t>
      </w:r>
      <w:r w:rsidRPr="0081517F">
        <w:t xml:space="preserve">eneral </w:t>
      </w:r>
      <w:r>
        <w:t>f</w:t>
      </w:r>
      <w:r w:rsidRPr="0081517F">
        <w:t>und resources to manage any additional costs associated with the bill. Therefore, this bill will have no expenditure impact for Judicial.</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Commission on Indigent Defense.</w:t>
      </w:r>
      <w:r w:rsidRPr="0081517F">
        <w:t xml:space="preserve"> CID establishes and monitors programs and services for legal representation to indigent defendants charged with criminal offenses in the courts of the state. CID plans to manage any increase in expenditures, if any, within current resources. Therefore, this bill will have no expenditure impact for CID.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bCs/>
        </w:rPr>
        <w:t>Department of Corrections.</w:t>
      </w:r>
      <w:r w:rsidRPr="0081517F">
        <w:t xml:space="preserve"> The fiscal impact of this bill is pending, contingent upon a response from the Department of Corrections.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bCs/>
        </w:rPr>
        <w:t>Commission on Prosecution Coordination.</w:t>
      </w:r>
      <w:r w:rsidRPr="0081517F">
        <w:t xml:space="preserve"> The fiscal impact of this bill is pending, contingent upon a response from the Commission on Prosecution Coordination. </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1517F">
        <w:rPr>
          <w:b/>
          <w:bCs/>
        </w:rPr>
        <w:t>State Revenue</w:t>
      </w:r>
    </w:p>
    <w:p w:rsidR="00021349" w:rsidRPr="0081517F"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This bill allows the court to order a person who is unfit to stand trial, but likely to become fit in the foreseeable future, to undergo restoration treatment by the Department of Mental Health (DMH) for 180 days and provides procedures when the person who was not committed after judicial admission proceedings was charged with a violent crime. Further, the procedures require a hearing as to whether the person shall be released on bond and requires any terms or conditions included in the person's bond be therapeutic in nature.</w:t>
      </w:r>
    </w:p>
    <w:p w:rsidR="00021349" w:rsidRPr="00B77D85" w:rsidRDefault="0002134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DMH indicates this bill may have a revenue impact to </w:t>
      </w:r>
      <w:r>
        <w:t>o</w:t>
      </w:r>
      <w:r w:rsidRPr="0081517F">
        <w:t xml:space="preserve">ther or </w:t>
      </w:r>
      <w:r>
        <w:t>f</w:t>
      </w:r>
      <w:r w:rsidRPr="0081517F">
        <w:t xml:space="preserve">ederal </w:t>
      </w:r>
      <w:r>
        <w:t>f</w:t>
      </w:r>
      <w:r w:rsidRPr="0081517F">
        <w:t>unds. DMH is working to provide additional information relative to this potential impact. Therefore, this impact is pending, contingent on an additional response from DMH.</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21349" w:rsidRPr="008E3A7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1349" w:rsidSect="008E3A7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Pr="008F023B" w:rsidRDefault="00021349" w:rsidP="00AD7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21349" w:rsidRPr="00522CE0" w:rsidRDefault="0002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4933AD">
        <w:rPr>
          <w:color w:val="000000" w:themeColor="text1"/>
          <w:u w:color="000000" w:themeColor="text1"/>
        </w:rPr>
        <w:t xml:space="preserve">TO AMEND </w:t>
      </w:r>
      <w:r>
        <w:rPr>
          <w:color w:val="000000" w:themeColor="text1"/>
          <w:u w:color="000000" w:themeColor="text1"/>
        </w:rPr>
        <w:t xml:space="preserve">SECTION </w:t>
      </w:r>
      <w:r w:rsidRPr="004933AD">
        <w:rPr>
          <w:color w:val="000000" w:themeColor="text1"/>
          <w:u w:color="000000" w:themeColor="text1"/>
        </w:rPr>
        <w:t>44</w:t>
      </w:r>
      <w:r>
        <w:rPr>
          <w:color w:val="000000" w:themeColor="text1"/>
          <w:u w:color="000000" w:themeColor="text1"/>
        </w:rPr>
        <w:noBreakHyphen/>
      </w:r>
      <w:r w:rsidRPr="004933AD">
        <w:rPr>
          <w:color w:val="000000" w:themeColor="text1"/>
          <w:u w:color="000000" w:themeColor="text1"/>
        </w:rPr>
        <w:t>23</w:t>
      </w:r>
      <w:r>
        <w:rPr>
          <w:color w:val="000000" w:themeColor="text1"/>
          <w:u w:color="000000" w:themeColor="text1"/>
        </w:rPr>
        <w:noBreakHyphen/>
      </w:r>
      <w:r w:rsidRPr="004933AD">
        <w:rPr>
          <w:color w:val="000000" w:themeColor="text1"/>
          <w:u w:color="000000" w:themeColor="text1"/>
        </w:rPr>
        <w:t>430</w:t>
      </w:r>
      <w:r>
        <w:rPr>
          <w:color w:val="000000" w:themeColor="text1"/>
          <w:u w:color="000000" w:themeColor="text1"/>
        </w:rPr>
        <w:t xml:space="preserve"> OF THE 1976 CODE</w:t>
      </w:r>
      <w:r w:rsidRPr="004933AD">
        <w:rPr>
          <w:color w:val="000000" w:themeColor="text1"/>
          <w:u w:color="000000" w:themeColor="text1"/>
        </w:rPr>
        <w:t xml:space="preserve">, RELATING TO HEARINGS </w:t>
      </w:r>
      <w:r>
        <w:rPr>
          <w:color w:val="000000" w:themeColor="text1"/>
          <w:u w:color="000000" w:themeColor="text1"/>
        </w:rPr>
        <w:t>CONCERNING</w:t>
      </w:r>
      <w:r w:rsidRPr="004933AD">
        <w:rPr>
          <w:color w:val="000000" w:themeColor="text1"/>
          <w:u w:color="000000" w:themeColor="text1"/>
        </w:rPr>
        <w:t xml:space="preserve"> A PERSON</w:t>
      </w:r>
      <w:r w:rsidRPr="00042FC4">
        <w:rPr>
          <w:color w:val="000000" w:themeColor="text1"/>
          <w:u w:color="000000" w:themeColor="text1"/>
        </w:rPr>
        <w:t>’</w:t>
      </w:r>
      <w:r w:rsidRPr="004933AD">
        <w:rPr>
          <w:color w:val="000000" w:themeColor="text1"/>
          <w:u w:color="000000" w:themeColor="text1"/>
        </w:rPr>
        <w:t>S FITNESS TO STAND TRIAL, TO EXTEND THE LENGTH OF TIME CER</w:t>
      </w:r>
      <w:r>
        <w:rPr>
          <w:color w:val="000000" w:themeColor="text1"/>
          <w:u w:color="000000" w:themeColor="text1"/>
        </w:rPr>
        <w:t>TAIN PERSONS UNFIT TO STAND TRIA</w:t>
      </w:r>
      <w:r w:rsidRPr="004933AD">
        <w:rPr>
          <w:color w:val="000000" w:themeColor="text1"/>
          <w:u w:color="000000" w:themeColor="text1"/>
        </w:rPr>
        <w:t xml:space="preserve">L MAY BE HOSPITALIZED FOR RESTORATION </w:t>
      </w:r>
      <w:r>
        <w:rPr>
          <w:color w:val="000000" w:themeColor="text1"/>
          <w:u w:color="000000" w:themeColor="text1"/>
        </w:rPr>
        <w:t xml:space="preserve">TREATMENT </w:t>
      </w:r>
      <w:r w:rsidRPr="004933AD">
        <w:rPr>
          <w:color w:val="000000" w:themeColor="text1"/>
          <w:u w:color="000000" w:themeColor="text1"/>
        </w:rPr>
        <w:t>TO ONE HUNDRED EIGHTY DAYS, TO ALLOW THE DEPARTMENT OF MENTAL HEALTH TO PROVIDE RESTORATION TREATMENT IN DETENTION CENTERS AND ON AN OUTPATIENT BASIS IN CERTAIN CIRCUMSTANCES, AND FOR OTHER PURPOSES</w:t>
      </w:r>
      <w:r>
        <w:rPr>
          <w:color w:val="000000" w:themeColor="text1"/>
          <w:u w:color="000000" w:themeColor="text1"/>
        </w:rPr>
        <w:t>; AND TO DEFINE NECESSARY TERMS</w:t>
      </w:r>
      <w:r w:rsidRPr="004933AD">
        <w:rPr>
          <w:color w:val="000000" w:themeColor="text1"/>
          <w:u w:color="000000" w:themeColor="text1"/>
        </w:rPr>
        <w: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1.</w:t>
      </w:r>
      <w:r>
        <w:tab/>
      </w:r>
      <w:r w:rsidRPr="004933AD">
        <w:rPr>
          <w:color w:val="000000" w:themeColor="text1"/>
          <w:u w:color="000000" w:themeColor="text1"/>
        </w:rPr>
        <w:t>Section 44</w:t>
      </w:r>
      <w:r>
        <w:rPr>
          <w:color w:val="000000" w:themeColor="text1"/>
          <w:u w:color="000000" w:themeColor="text1"/>
        </w:rPr>
        <w:noBreakHyphen/>
      </w:r>
      <w:r w:rsidRPr="004933AD">
        <w:rPr>
          <w:color w:val="000000" w:themeColor="text1"/>
          <w:u w:color="000000" w:themeColor="text1"/>
        </w:rPr>
        <w:t>23</w:t>
      </w:r>
      <w:r>
        <w:rPr>
          <w:color w:val="000000" w:themeColor="text1"/>
          <w:u w:color="000000" w:themeColor="text1"/>
        </w:rPr>
        <w:noBreakHyphen/>
        <w:t>10</w:t>
      </w:r>
      <w:r w:rsidRPr="004933AD">
        <w:rPr>
          <w:color w:val="000000" w:themeColor="text1"/>
          <w:u w:color="000000" w:themeColor="text1"/>
        </w:rPr>
        <w:t xml:space="preserve"> of the 1976 Code is amended </w:t>
      </w:r>
      <w:r>
        <w:rPr>
          <w:color w:val="000000" w:themeColor="text1"/>
          <w:u w:color="000000" w:themeColor="text1"/>
        </w:rPr>
        <w:t>by adding an appropriately numbered new item to read</w:t>
      </w:r>
      <w:r w:rsidRPr="004933AD">
        <w:rPr>
          <w:color w:val="000000" w:themeColor="text1"/>
          <w:u w:color="000000" w:themeColor="text1"/>
        </w:rPr>
        <w: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w:t>
      </w:r>
      <w:r>
        <w:tab/>
        <w:t>)</w:t>
      </w:r>
      <w:r>
        <w:tab/>
      </w:r>
      <w:r w:rsidRPr="00EE6007">
        <w:rPr>
          <w:color w:val="000000" w:themeColor="text1"/>
          <w:u w:color="000000" w:themeColor="text1"/>
        </w:rPr>
        <w:t xml:space="preserve">‘Restoration treatment’ means treatment provided to a person who has been determined unfit to stand trial but likely to become fit in the foreseeable future, and </w:t>
      </w:r>
      <w:r>
        <w:rPr>
          <w:color w:val="000000" w:themeColor="text1"/>
          <w:u w:color="000000" w:themeColor="text1"/>
        </w:rPr>
        <w:t>that</w:t>
      </w:r>
      <w:r w:rsidRPr="00EE6007">
        <w:rPr>
          <w:color w:val="000000" w:themeColor="text1"/>
          <w:u w:color="000000" w:themeColor="text1"/>
        </w:rPr>
        <w:t xml:space="preserve"> has as part of its goals assisting the person to gain the capacity to understand the proceedings against him and to assist in his own defense.</w:t>
      </w:r>
      <w:r>
        <w: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2.</w:t>
      </w:r>
      <w:r>
        <w:tab/>
      </w:r>
      <w:r w:rsidRPr="004933AD">
        <w:rPr>
          <w:color w:val="000000" w:themeColor="text1"/>
          <w:u w:color="000000" w:themeColor="text1"/>
        </w:rPr>
        <w:t>Section 44</w:t>
      </w:r>
      <w:r>
        <w:rPr>
          <w:color w:val="000000" w:themeColor="text1"/>
          <w:u w:color="000000" w:themeColor="text1"/>
        </w:rPr>
        <w:noBreakHyphen/>
      </w:r>
      <w:r w:rsidRPr="004933AD">
        <w:rPr>
          <w:color w:val="000000" w:themeColor="text1"/>
          <w:u w:color="000000" w:themeColor="text1"/>
        </w:rPr>
        <w:t>23</w:t>
      </w:r>
      <w:r>
        <w:rPr>
          <w:color w:val="000000" w:themeColor="text1"/>
          <w:u w:color="000000" w:themeColor="text1"/>
        </w:rPr>
        <w:noBreakHyphen/>
      </w:r>
      <w:r w:rsidRPr="004933AD">
        <w:rPr>
          <w:color w:val="000000" w:themeColor="text1"/>
          <w:u w:color="000000" w:themeColor="text1"/>
        </w:rPr>
        <w:t>430 of the 1976 Code is amended to read:</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44</w:t>
      </w:r>
      <w:r>
        <w:rPr>
          <w:color w:val="000000" w:themeColor="text1"/>
          <w:u w:color="000000" w:themeColor="text1"/>
        </w:rPr>
        <w:noBreakHyphen/>
        <w:t>23</w:t>
      </w:r>
      <w:r>
        <w:rPr>
          <w:color w:val="000000" w:themeColor="text1"/>
          <w:u w:color="000000" w:themeColor="text1"/>
        </w:rPr>
        <w:noBreakHyphen/>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C1">
        <w:tab/>
        <w:t>(1)</w:t>
      </w:r>
      <w:r>
        <w:tab/>
      </w:r>
      <w:r w:rsidRPr="005970C1">
        <w:t>the person is fit to stand trial, it shall order the criminal proceedings resumed; or</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5970C1">
        <w:t>the person is unfit to stand trial for the reasons set forth in Section 44</w:t>
      </w:r>
      <w:r>
        <w:noBreakHyphen/>
      </w:r>
      <w:r w:rsidRPr="005970C1">
        <w:t>23</w:t>
      </w:r>
      <w:r>
        <w:noBreakHyphen/>
      </w:r>
      <w:r w:rsidRPr="005970C1">
        <w:t>410 and is unlikely to become fit to stand trial in the foreseeable future, the solicitor responsible for the criminal prosecution shall initiate judicial admission proceedings pursuant to Sections 44</w:t>
      </w:r>
      <w:r>
        <w:noBreakHyphen/>
      </w:r>
      <w:r w:rsidRPr="005970C1">
        <w:t>17</w:t>
      </w:r>
      <w:r>
        <w:noBreakHyphen/>
      </w:r>
      <w:r w:rsidRPr="005970C1">
        <w:t>510 through 44</w:t>
      </w:r>
      <w:r>
        <w:noBreakHyphen/>
      </w:r>
      <w:r w:rsidRPr="005970C1">
        <w:t>17</w:t>
      </w:r>
      <w:r>
        <w:noBreakHyphen/>
      </w:r>
      <w:r w:rsidRPr="005970C1">
        <w:t>610 or Section 44</w:t>
      </w:r>
      <w:r>
        <w:noBreakHyphen/>
      </w:r>
      <w:r w:rsidRPr="005970C1">
        <w:t>20</w:t>
      </w:r>
      <w:r>
        <w:noBreakHyphen/>
      </w:r>
      <w:r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5970C1">
        <w:t xml:space="preserve">the person is unfit to stand trial but likely to become fit in the foreseeable future, the court shall order him </w:t>
      </w:r>
      <w:r w:rsidRPr="007B54BC">
        <w:rPr>
          <w:strike/>
        </w:rPr>
        <w:t>hospitalized</w:t>
      </w:r>
      <w:r w:rsidRPr="005970C1">
        <w:t xml:space="preserve"> </w:t>
      </w:r>
      <w:r w:rsidRPr="004933AD">
        <w:rPr>
          <w:color w:val="000000" w:themeColor="text1"/>
          <w:u w:val="single" w:color="000000" w:themeColor="text1"/>
        </w:rPr>
        <w:t xml:space="preserve">to undergo restoration treatment by the </w:t>
      </w:r>
      <w:r>
        <w:rPr>
          <w:color w:val="000000" w:themeColor="text1"/>
          <w:u w:val="single" w:color="000000" w:themeColor="text1"/>
        </w:rPr>
        <w:t>d</w:t>
      </w:r>
      <w:r w:rsidRPr="004933AD">
        <w:rPr>
          <w:color w:val="000000" w:themeColor="text1"/>
          <w:u w:val="single" w:color="000000" w:themeColor="text1"/>
        </w:rPr>
        <w:t>epartment for</w:t>
      </w:r>
      <w:r>
        <w:t xml:space="preserve"> </w:t>
      </w:r>
      <w:r w:rsidRPr="005970C1">
        <w:t xml:space="preserve">up to </w:t>
      </w:r>
      <w:r w:rsidRPr="007B54BC">
        <w:rPr>
          <w:strike/>
        </w:rPr>
        <w:t>an additional sixty</w:t>
      </w:r>
      <w:r w:rsidRPr="005970C1">
        <w:t xml:space="preserve"> </w:t>
      </w:r>
      <w:r w:rsidRPr="004933AD">
        <w:rPr>
          <w:color w:val="000000" w:themeColor="text1"/>
          <w:u w:val="single" w:color="000000" w:themeColor="text1"/>
        </w:rPr>
        <w:t>one hundred eighty</w:t>
      </w:r>
      <w:r>
        <w:t xml:space="preserve"> </w:t>
      </w:r>
      <w:r w:rsidRPr="005970C1">
        <w:t>days</w:t>
      </w:r>
      <w:r>
        <w:t xml:space="preserve"> </w:t>
      </w:r>
      <w:r w:rsidRPr="004933AD">
        <w:rPr>
          <w:color w:val="000000" w:themeColor="text1"/>
          <w:u w:val="single" w:color="000000" w:themeColor="text1"/>
        </w:rPr>
        <w:t>from the commencement of restoration treatment</w:t>
      </w:r>
      <w:r w:rsidRPr="00EE6007">
        <w:rPr>
          <w:color w:val="000000" w:themeColor="text1"/>
          <w:u w:color="000000" w:themeColor="text1"/>
        </w:rPr>
        <w:t xml:space="preserve">. </w:t>
      </w:r>
      <w:r w:rsidRPr="004933AD">
        <w:rPr>
          <w:color w:val="000000" w:themeColor="text1"/>
          <w:u w:val="single" w:color="000000" w:themeColor="text1"/>
        </w:rPr>
        <w:t xml:space="preserve">If the person is in detention, </w:t>
      </w:r>
      <w:r>
        <w:rPr>
          <w:color w:val="000000" w:themeColor="text1"/>
          <w:u w:val="single" w:color="000000" w:themeColor="text1"/>
        </w:rPr>
        <w:t xml:space="preserve">then </w:t>
      </w:r>
      <w:r w:rsidRPr="004933AD">
        <w:rPr>
          <w:color w:val="000000" w:themeColor="text1"/>
          <w:u w:val="single" w:color="000000" w:themeColor="text1"/>
        </w:rPr>
        <w:t xml:space="preserve">the </w:t>
      </w:r>
      <w:r>
        <w:rPr>
          <w:color w:val="000000" w:themeColor="text1"/>
          <w:u w:val="single" w:color="000000" w:themeColor="text1"/>
        </w:rPr>
        <w:t>d</w:t>
      </w:r>
      <w:r w:rsidRPr="004933AD">
        <w:rPr>
          <w:color w:val="000000" w:themeColor="text1"/>
          <w:u w:val="single" w:color="000000" w:themeColor="text1"/>
        </w:rPr>
        <w:t xml:space="preserve">epartment has the discretion to provide the restoration treatment in a hospital or detention facility. If the person is on bond, </w:t>
      </w:r>
      <w:r>
        <w:rPr>
          <w:color w:val="000000" w:themeColor="text1"/>
          <w:u w:val="single" w:color="000000" w:themeColor="text1"/>
        </w:rPr>
        <w:t xml:space="preserve">then </w:t>
      </w:r>
      <w:r w:rsidRPr="004933AD">
        <w:rPr>
          <w:color w:val="000000" w:themeColor="text1"/>
          <w:u w:val="single" w:color="000000" w:themeColor="text1"/>
        </w:rPr>
        <w:t xml:space="preserve">the </w:t>
      </w:r>
      <w:r>
        <w:rPr>
          <w:color w:val="000000" w:themeColor="text1"/>
          <w:u w:val="single" w:color="000000" w:themeColor="text1"/>
        </w:rPr>
        <w:t>d</w:t>
      </w:r>
      <w:r w:rsidRPr="004933AD">
        <w:rPr>
          <w:color w:val="000000" w:themeColor="text1"/>
          <w:u w:val="single" w:color="000000" w:themeColor="text1"/>
        </w:rPr>
        <w:t>epartment has the discretion to provide the restoration treatment in a hospital or on an outpatient basis</w:t>
      </w:r>
      <w:r w:rsidRPr="00EE6007">
        <w:rPr>
          <w:u w:val="single"/>
        </w:rPr>
        <w:t>.</w:t>
      </w:r>
      <w:r w:rsidRPr="005970C1">
        <w:t xml:space="preserve"> If the person is found to be unfit at the conclusion of the </w:t>
      </w:r>
      <w:r w:rsidRPr="00413AC6">
        <w:rPr>
          <w:strike/>
        </w:rPr>
        <w:t>additional</w:t>
      </w:r>
      <w:r w:rsidRPr="005970C1">
        <w:t xml:space="preserve"> period of </w:t>
      </w:r>
      <w:r w:rsidRPr="004933AD">
        <w:rPr>
          <w:color w:val="000000" w:themeColor="text1"/>
          <w:u w:val="single" w:color="000000" w:themeColor="text1"/>
        </w:rPr>
        <w:t>restoration</w:t>
      </w:r>
      <w:r>
        <w:t xml:space="preserve"> </w:t>
      </w:r>
      <w:r w:rsidRPr="005970C1">
        <w:t xml:space="preserve">treatment, </w:t>
      </w:r>
      <w:r>
        <w:rPr>
          <w:u w:val="single"/>
        </w:rPr>
        <w:t>then</w:t>
      </w:r>
      <w:r>
        <w:t xml:space="preserve"> </w:t>
      </w:r>
      <w:r w:rsidRPr="005970C1">
        <w:t>the solicitor responsible for the criminal prosecution shall initiate judicial admission proceedings pursuant to Sections 44</w:t>
      </w:r>
      <w:r>
        <w:noBreakHyphen/>
      </w:r>
      <w:r w:rsidRPr="005970C1">
        <w:t>17</w:t>
      </w:r>
      <w:r>
        <w:noBreakHyphen/>
      </w:r>
      <w:r w:rsidRPr="005970C1">
        <w:t>510 through 44</w:t>
      </w:r>
      <w:r>
        <w:noBreakHyphen/>
      </w:r>
      <w:r w:rsidRPr="005970C1">
        <w:t>17</w:t>
      </w:r>
      <w:r>
        <w:noBreakHyphen/>
      </w:r>
      <w:r w:rsidRPr="005970C1">
        <w:t>610 or Section 44</w:t>
      </w:r>
      <w:r>
        <w:noBreakHyphen/>
      </w:r>
      <w:r w:rsidRPr="005970C1">
        <w:t>20</w:t>
      </w:r>
      <w:r>
        <w:noBreakHyphen/>
      </w:r>
      <w:r w:rsidRPr="005970C1">
        <w:t>450 within fourteen days, excluding Saturdays, Sundays, and holidays</w:t>
      </w:r>
      <w:r w:rsidRPr="00A700C1">
        <w:rPr>
          <w:strike/>
        </w:rPr>
        <w:t>, during which time the person shall remain hospitalized</w:t>
      </w:r>
      <w:r w:rsidRPr="005970C1">
        <w: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C1">
        <w:tab/>
      </w:r>
      <w:r>
        <w:rPr>
          <w:u w:val="single"/>
        </w:rPr>
        <w:t>(B)</w:t>
      </w:r>
      <w:r>
        <w:tab/>
      </w:r>
      <w:r w:rsidRPr="005970C1">
        <w:t>Subject to the provisions of Section 44</w:t>
      </w:r>
      <w:r>
        <w:noBreakHyphen/>
      </w:r>
      <w:r w:rsidRPr="005970C1">
        <w:t>23</w:t>
      </w:r>
      <w:r>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w:t>
      </w:r>
      <w:r w:rsidRPr="00EE6007">
        <w:rPr>
          <w:color w:val="000000" w:themeColor="text1"/>
          <w:u w:color="000000" w:themeColor="text1"/>
        </w:rPr>
        <w:t xml:space="preserve">. </w:t>
      </w:r>
      <w:r w:rsidRPr="004933AD">
        <w:rPr>
          <w:color w:val="000000" w:themeColor="text1"/>
          <w:u w:val="single" w:color="000000" w:themeColor="text1"/>
        </w:rPr>
        <w:t xml:space="preserve">If </w:t>
      </w:r>
      <w:r>
        <w:rPr>
          <w:color w:val="000000" w:themeColor="text1"/>
          <w:u w:val="single" w:color="000000" w:themeColor="text1"/>
        </w:rPr>
        <w:t>a</w:t>
      </w:r>
      <w:r w:rsidRPr="004933AD">
        <w:rPr>
          <w:color w:val="000000" w:themeColor="text1"/>
          <w:u w:val="single" w:color="000000" w:themeColor="text1"/>
        </w:rPr>
        <w:t xml:space="preserve"> pending charge is a violent crime, </w:t>
      </w:r>
      <w:r>
        <w:rPr>
          <w:color w:val="000000" w:themeColor="text1"/>
          <w:u w:val="single" w:color="000000" w:themeColor="text1"/>
        </w:rPr>
        <w:t xml:space="preserve">then </w:t>
      </w:r>
      <w:r w:rsidRPr="004933AD">
        <w:rPr>
          <w:color w:val="000000" w:themeColor="text1"/>
          <w:u w:val="single" w:color="000000" w:themeColor="text1"/>
        </w:rPr>
        <w:t>a hearing must be held by the court in which the charges are pending prior to release on the issue of whether the person shall be released on bond, with terms and conditions appropriate for the safety of the community and the well</w:t>
      </w:r>
      <w:r>
        <w:rPr>
          <w:color w:val="000000" w:themeColor="text1"/>
          <w:u w:val="single" w:color="000000" w:themeColor="text1"/>
        </w:rPr>
        <w:noBreakHyphen/>
      </w:r>
      <w:r w:rsidRPr="004933AD">
        <w:rPr>
          <w:color w:val="000000" w:themeColor="text1"/>
          <w:u w:val="single" w:color="000000" w:themeColor="text1"/>
        </w:rPr>
        <w:t>being of the person. Any terms or conditions included in the person</w:t>
      </w:r>
      <w:r w:rsidRPr="00042FC4">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w:t>
      </w:r>
      <w:r>
        <w:rPr>
          <w:color w:val="000000" w:themeColor="text1"/>
          <w:u w:val="single" w:color="000000" w:themeColor="text1"/>
        </w:rPr>
        <w:t xml:space="preserve">shall </w:t>
      </w:r>
      <w:r w:rsidRPr="004933AD">
        <w:rPr>
          <w:color w:val="000000" w:themeColor="text1"/>
          <w:u w:val="single" w:color="000000" w:themeColor="text1"/>
        </w:rPr>
        <w:t xml:space="preserve">not be limited to, a requirement that the person cooperate in any treatment indicated for </w:t>
      </w:r>
      <w:r>
        <w:rPr>
          <w:color w:val="000000" w:themeColor="text1"/>
          <w:u w:val="single" w:color="000000" w:themeColor="text1"/>
        </w:rPr>
        <w:t>his</w:t>
      </w:r>
      <w:r w:rsidRPr="004933AD">
        <w:rPr>
          <w:color w:val="000000" w:themeColor="text1"/>
          <w:u w:val="single" w:color="000000" w:themeColor="text1"/>
        </w:rPr>
        <w:t xml:space="preserve"> psychiatric or intellectual impairments, including keeping scheduled appointments, taking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w:t>
      </w:r>
      <w:r>
        <w:rPr>
          <w:color w:val="000000" w:themeColor="text1"/>
          <w:u w:val="single" w:color="000000" w:themeColor="text1"/>
        </w:rPr>
        <w:t>ing</w:t>
      </w:r>
      <w:r w:rsidRPr="004933AD">
        <w:rPr>
          <w:color w:val="000000" w:themeColor="text1"/>
          <w:u w:val="single" w:color="000000" w:themeColor="text1"/>
        </w:rPr>
        <w:t xml:space="preserve">s to </w:t>
      </w:r>
      <w:r>
        <w:rPr>
          <w:color w:val="000000" w:themeColor="text1"/>
          <w:u w:val="single" w:color="000000" w:themeColor="text1"/>
        </w:rPr>
        <w:t>e</w:t>
      </w:r>
      <w:r w:rsidRPr="004933AD">
        <w:rPr>
          <w:color w:val="000000" w:themeColor="text1"/>
          <w:u w:val="single" w:color="000000" w:themeColor="text1"/>
        </w:rPr>
        <w:t>nsure sobriety and medication compliance. Fo</w:t>
      </w:r>
      <w:r>
        <w:rPr>
          <w:color w:val="000000" w:themeColor="text1"/>
          <w:u w:val="single" w:color="000000" w:themeColor="text1"/>
        </w:rPr>
        <w:t>r the purposes of this subsection,</w:t>
      </w:r>
      <w:r w:rsidRPr="004933AD">
        <w:rPr>
          <w:color w:val="000000" w:themeColor="text1"/>
          <w:u w:val="single" w:color="000000" w:themeColor="text1"/>
        </w:rPr>
        <w:t xml:space="preserve"> </w:t>
      </w:r>
      <w:r w:rsidRPr="00042FC4">
        <w:rPr>
          <w:color w:val="000000" w:themeColor="text1"/>
          <w:u w:val="single" w:color="000000" w:themeColor="text1"/>
        </w:rPr>
        <w:t>‘</w:t>
      </w:r>
      <w:r w:rsidRPr="004933AD">
        <w:rPr>
          <w:color w:val="000000" w:themeColor="text1"/>
          <w:u w:val="single" w:color="000000" w:themeColor="text1"/>
        </w:rPr>
        <w:t>violent crime</w:t>
      </w:r>
      <w:r w:rsidRPr="00042FC4">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Pr>
          <w:color w:val="000000" w:themeColor="text1"/>
          <w:u w:val="single" w:color="000000" w:themeColor="text1"/>
        </w:rPr>
        <w:noBreakHyphen/>
      </w:r>
      <w:r w:rsidRPr="004933AD">
        <w:rPr>
          <w:color w:val="000000" w:themeColor="text1"/>
          <w:u w:val="single" w:color="000000" w:themeColor="text1"/>
        </w:rPr>
        <w:t>1</w:t>
      </w:r>
      <w:r>
        <w:rPr>
          <w:color w:val="000000" w:themeColor="text1"/>
          <w:u w:val="single" w:color="000000" w:themeColor="text1"/>
        </w:rPr>
        <w:noBreakHyphen/>
      </w:r>
      <w:r w:rsidRPr="004933AD">
        <w:rPr>
          <w:color w:val="000000" w:themeColor="text1"/>
          <w:u w:val="single" w:color="000000" w:themeColor="text1"/>
        </w:rPr>
        <w:t>60</w:t>
      </w:r>
      <w:r w:rsidRPr="00EE6007">
        <w:rPr>
          <w:u w:val="single"/>
        </w:rPr>
        <w:t>.</w:t>
      </w:r>
      <w:r>
        <w:t>”</w:t>
      </w:r>
    </w:p>
    <w:p w:rsidR="00021349"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49" w:rsidRPr="00522CE0" w:rsidRDefault="00021349"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021349" w:rsidRDefault="000213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04A5" w:rsidRDefault="006204A5" w:rsidP="0002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204A5" w:rsidSect="008E3A7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54A" w:rsidRDefault="001A754A" w:rsidP="00522CE0">
      <w:r>
        <w:separator/>
      </w:r>
    </w:p>
  </w:endnote>
  <w:endnote w:type="continuationSeparator" w:id="0">
    <w:p w:rsidR="001A754A" w:rsidRDefault="001A7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A06A67-641D-46B0-B438-2FC704C6831A}"/>
    <w:embedBold r:id="rId2" w:fontKey="{85443F57-B74B-4D86-B066-C7B7F3B05F67}"/>
  </w:font>
  <w:font w:name="Calibri">
    <w:panose1 w:val="020F0502020204030204"/>
    <w:charset w:val="00"/>
    <w:family w:val="swiss"/>
    <w:pitch w:val="variable"/>
    <w:sig w:usb0="E4002EFF" w:usb1="C000247B" w:usb2="00000009" w:usb3="00000000" w:csb0="000001FF" w:csb1="00000000"/>
    <w:embedRegular r:id="rId3" w:fontKey="{5D82E7DA-BFE9-4460-83A8-8428152380AD}"/>
    <w:embedBold r:id="rId4" w:fontKey="{5F9B7B3D-E0FE-4F4B-AFEC-4DF23B0167A1}"/>
  </w:font>
  <w:font w:name="Segoe UI">
    <w:panose1 w:val="020B0502040204020203"/>
    <w:charset w:val="00"/>
    <w:family w:val="swiss"/>
    <w:pitch w:val="variable"/>
    <w:sig w:usb0="E4002EFF" w:usb1="C000E47F" w:usb2="00000009" w:usb3="00000000" w:csb0="000001FF" w:csb1="00000000"/>
    <w:embedRegular r:id="rId5" w:fontKey="{51A2A5FF-4E4D-4ECA-B427-65BD607E9F74}"/>
  </w:font>
  <w:font w:name="Cambria">
    <w:panose1 w:val="02040503050406030204"/>
    <w:charset w:val="00"/>
    <w:family w:val="roman"/>
    <w:pitch w:val="variable"/>
    <w:sig w:usb0="E00006FF" w:usb1="420024FF" w:usb2="02000000" w:usb3="00000000" w:csb0="0000019F" w:csb1="00000000"/>
    <w:embedRegular r:id="rId6" w:fontKey="{99FDF113-D5BC-4BF9-B060-8097E3F78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49" w:rsidRPr="00AD7948" w:rsidRDefault="00021349" w:rsidP="00AD7948">
    <w:pPr>
      <w:pStyle w:val="Footer"/>
      <w:tabs>
        <w:tab w:val="clear" w:pos="4680"/>
        <w:tab w:val="clear" w:pos="9360"/>
        <w:tab w:val="center" w:pos="2995"/>
      </w:tabs>
      <w:spacing w:before="120"/>
    </w:pPr>
    <w:r>
      <w:t>[79-</w:t>
    </w:r>
    <w:r>
      <w:fldChar w:fldCharType="begin"/>
    </w:r>
    <w:r>
      <w:instrText xml:space="preserve"> PAGE  \* MERGEFORMAT </w:instrText>
    </w:r>
    <w:r>
      <w:fldChar w:fldCharType="separate"/>
    </w:r>
    <w:r w:rsidR="00B40D5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A79" w:rsidRPr="00AD7948" w:rsidRDefault="00021349" w:rsidP="00AD7948">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54A" w:rsidRDefault="001A754A" w:rsidP="00522CE0">
      <w:r>
        <w:separator/>
      </w:r>
    </w:p>
  </w:footnote>
  <w:footnote w:type="continuationSeparator" w:id="0">
    <w:p w:rsidR="001A754A" w:rsidRDefault="001A7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REST.KMM.GM"/>
    <w:docVar w:name="CoverAttorneyInitials" w:val="KMM"/>
    <w:docVar w:name="CoverAttorneyLastName" w:val="Moffitt"/>
    <w:docVar w:name="CoverBillType" w:val="b"/>
    <w:docVar w:name="CoverSenator" w:val="GM"/>
    <w:docVar w:name="dvBillNumber" w:val="79"/>
    <w:docVar w:name="dvBillNumberPrefix" w:val="S. "/>
    <w:docVar w:name="dvOriginalBody" w:val="Senate"/>
    <w:docVar w:name="fulldraftpath" w:val="L:\S-RES\GM\048REST.KMM.GM.DOCX"/>
    <w:docVar w:name="NameofBody" w:val="S"/>
    <w:docVar w:name="vgroup2" w:val="S-RES"/>
  </w:docVars>
  <w:rsids>
    <w:rsidRoot w:val="009770F7"/>
    <w:rsid w:val="00021349"/>
    <w:rsid w:val="00042AC1"/>
    <w:rsid w:val="00046516"/>
    <w:rsid w:val="00072458"/>
    <w:rsid w:val="0007601D"/>
    <w:rsid w:val="000B0720"/>
    <w:rsid w:val="000B55D2"/>
    <w:rsid w:val="000B5EAF"/>
    <w:rsid w:val="001315B2"/>
    <w:rsid w:val="00170561"/>
    <w:rsid w:val="00174988"/>
    <w:rsid w:val="00186AC9"/>
    <w:rsid w:val="00197DF1"/>
    <w:rsid w:val="001A754A"/>
    <w:rsid w:val="001B3DD9"/>
    <w:rsid w:val="001B7E5D"/>
    <w:rsid w:val="001D3BAC"/>
    <w:rsid w:val="00216025"/>
    <w:rsid w:val="00245C4E"/>
    <w:rsid w:val="00274F74"/>
    <w:rsid w:val="002C1321"/>
    <w:rsid w:val="002C2031"/>
    <w:rsid w:val="002C5896"/>
    <w:rsid w:val="002D3BED"/>
    <w:rsid w:val="002D4BCD"/>
    <w:rsid w:val="00307C2B"/>
    <w:rsid w:val="00315D04"/>
    <w:rsid w:val="003434B8"/>
    <w:rsid w:val="00383247"/>
    <w:rsid w:val="003D6E2B"/>
    <w:rsid w:val="003E7597"/>
    <w:rsid w:val="00413EBF"/>
    <w:rsid w:val="00423D4B"/>
    <w:rsid w:val="0044020F"/>
    <w:rsid w:val="00450668"/>
    <w:rsid w:val="00454138"/>
    <w:rsid w:val="0047310E"/>
    <w:rsid w:val="004813A2"/>
    <w:rsid w:val="0049109E"/>
    <w:rsid w:val="004952FA"/>
    <w:rsid w:val="004B6A22"/>
    <w:rsid w:val="004D7F37"/>
    <w:rsid w:val="004E6E2C"/>
    <w:rsid w:val="00522CE0"/>
    <w:rsid w:val="00541951"/>
    <w:rsid w:val="00565148"/>
    <w:rsid w:val="00570403"/>
    <w:rsid w:val="00577450"/>
    <w:rsid w:val="00593361"/>
    <w:rsid w:val="005A02FE"/>
    <w:rsid w:val="005A413B"/>
    <w:rsid w:val="005A5017"/>
    <w:rsid w:val="005A648C"/>
    <w:rsid w:val="005F07AC"/>
    <w:rsid w:val="005F1745"/>
    <w:rsid w:val="006204A5"/>
    <w:rsid w:val="006A1802"/>
    <w:rsid w:val="006C0CBB"/>
    <w:rsid w:val="006C74EA"/>
    <w:rsid w:val="006F2890"/>
    <w:rsid w:val="006F56CF"/>
    <w:rsid w:val="00720D40"/>
    <w:rsid w:val="007318D4"/>
    <w:rsid w:val="00760072"/>
    <w:rsid w:val="00765784"/>
    <w:rsid w:val="00782AB2"/>
    <w:rsid w:val="007A4390"/>
    <w:rsid w:val="007E5CB7"/>
    <w:rsid w:val="008314D2"/>
    <w:rsid w:val="00870F6F"/>
    <w:rsid w:val="008B2F42"/>
    <w:rsid w:val="008B75AA"/>
    <w:rsid w:val="008C3697"/>
    <w:rsid w:val="008E185F"/>
    <w:rsid w:val="008F023B"/>
    <w:rsid w:val="00904E16"/>
    <w:rsid w:val="009162B3"/>
    <w:rsid w:val="00927C62"/>
    <w:rsid w:val="009770F7"/>
    <w:rsid w:val="00983951"/>
    <w:rsid w:val="00984124"/>
    <w:rsid w:val="00984640"/>
    <w:rsid w:val="00991D1C"/>
    <w:rsid w:val="00995C37"/>
    <w:rsid w:val="009C118A"/>
    <w:rsid w:val="00A02011"/>
    <w:rsid w:val="00A4011E"/>
    <w:rsid w:val="00A86015"/>
    <w:rsid w:val="00A9594E"/>
    <w:rsid w:val="00AD7948"/>
    <w:rsid w:val="00AD7FA8"/>
    <w:rsid w:val="00AE59C8"/>
    <w:rsid w:val="00B10098"/>
    <w:rsid w:val="00B40D5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3743"/>
    <w:rsid w:val="00EB47AE"/>
    <w:rsid w:val="00EC34E1"/>
    <w:rsid w:val="00EE600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8C31D86E-D909-4E54-9AD1-6EA4407D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1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9E"/>
    <w:rPr>
      <w:rFonts w:ascii="Segoe UI" w:hAnsi="Segoe UI" w:cs="Segoe UI"/>
      <w:sz w:val="18"/>
      <w:szCs w:val="18"/>
    </w:rPr>
  </w:style>
  <w:style w:type="character" w:styleId="Hyperlink">
    <w:name w:val="Hyperlink"/>
    <w:basedOn w:val="DefaultParagraphFont"/>
    <w:uiPriority w:val="99"/>
    <w:unhideWhenUsed/>
    <w:rsid w:val="00620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hyperlink" Target="file:///p:\pprever\2021-22\79_202203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p:\pprever\2021-22\79_2020120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79&amp;session=124&amp;summary=B" TargetMode="External"/><Relationship Id="rId4" Type="http://schemas.openxmlformats.org/officeDocument/2006/relationships/footnotes" Target="footnotes.xml"/><Relationship Id="rId9" Type="http://schemas.openxmlformats.org/officeDocument/2006/relationships/hyperlink" Target="file:///h:\sj\202204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 Subject not yet available - South Carolina Legislature Online</dc:title>
  <dc:subject/>
  <dc:creator>Ken Moffitt</dc:creator>
  <cp:keywords/>
  <dc:description/>
  <cp:lastModifiedBy>S Wilson</cp:lastModifiedBy>
  <cp:revision>2</cp:revision>
  <dcterms:created xsi:type="dcterms:W3CDTF">2022-04-13T12:33:00Z</dcterms:created>
  <dcterms:modified xsi:type="dcterms:W3CDTF">2022-04-13T12:33:00Z</dcterms:modified>
</cp:coreProperties>
</file>