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A65" w:rsidRDefault="004F5A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49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1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0CDC">
        <w:rPr>
          <w:color w:val="000000" w:themeColor="text1"/>
          <w:u w:color="000000" w:themeColor="text1"/>
        </w:rPr>
        <w:t>TO AMEND SECTION 10</w:t>
      </w:r>
      <w:r>
        <w:rPr>
          <w:color w:val="000000" w:themeColor="text1"/>
          <w:u w:color="000000" w:themeColor="text1"/>
        </w:rPr>
        <w:noBreakHyphen/>
      </w:r>
      <w:r w:rsidRPr="00F40CDC">
        <w:rPr>
          <w:color w:val="000000" w:themeColor="text1"/>
          <w:u w:color="000000" w:themeColor="text1"/>
        </w:rPr>
        <w:t>1</w:t>
      </w:r>
      <w:r>
        <w:rPr>
          <w:color w:val="000000" w:themeColor="text1"/>
          <w:u w:color="000000" w:themeColor="text1"/>
        </w:rPr>
        <w:noBreakHyphen/>
      </w:r>
      <w:r w:rsidRPr="00F40CDC">
        <w:rPr>
          <w:color w:val="000000" w:themeColor="text1"/>
          <w:u w:color="000000" w:themeColor="text1"/>
        </w:rPr>
        <w:t>165, CODE OF LAWS OF SOUTH CAROLINA, 1976, RELATING TO THE ALTERATION, RELOCATION OR REMOVAL OF CERTAIN MONUMENTS OR MEMORIALS ERECTED ON PUBLIC PROPERTY, OR THE RENAMING OR REDEDICATION OF STRUCTURES, STREETS, PARKS, OR OTHER PUBLIC AREAS, SO AS TO PROVIDE THAT THESE PROVISIONS DO NOT APPLY TO SUCH PROPERTY UNDER THE JURISDICTION AND CONTROL OF POLITICAL SUBDIVISIONS OF THIS STATE, INCLUDING SCHOOL DISTRICTS, AND PUBLIC INSTITUTIONS OF HIGHER LEARNING.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9FB" w:rsidRDefault="006C4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9FB" w:rsidRDefault="006C4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F9" w:rsidRDefault="006811F9" w:rsidP="00681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10</w:t>
      </w:r>
      <w:r>
        <w:noBreakHyphen/>
        <w:t>1</w:t>
      </w:r>
      <w:r>
        <w:noBreakHyphen/>
        <w:t>165(A) of the 1976 Code is amended to read:</w:t>
      </w:r>
    </w:p>
    <w:p w:rsidR="006811F9" w:rsidRDefault="006811F9" w:rsidP="00681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F9" w:rsidRDefault="006811F9" w:rsidP="00681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31A19">
        <w:t>(A)</w:t>
      </w:r>
      <w:r>
        <w:tab/>
      </w:r>
      <w:r w:rsidRPr="00031A19">
        <w:t>No Revolutionary War, War of 1812, Mexican War, War Between the States, Spanish</w:t>
      </w:r>
      <w:r>
        <w:noBreakHyphen/>
      </w:r>
      <w:r w:rsidRPr="00031A19">
        <w:t>American War, World War I, World War II, Korean War, Vietnam War, Persian Gulf War, Native American, or African</w:t>
      </w:r>
      <w:r>
        <w:noBreakHyphen/>
      </w:r>
      <w:r w:rsidRPr="00031A19">
        <w:t xml:space="preserve">American History monuments or memorials erected on public property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may be relocated, removed, disturbed, or altered. No street, bridge, structure, park, preserve, reserve, or other public area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w:t>
      </w:r>
      <w:r w:rsidRPr="00031A19">
        <w:lastRenderedPageBreak/>
        <w:t>monuments, memorials, or nameplates.</w:t>
      </w:r>
      <w:r>
        <w:t xml:space="preserve"> </w:t>
      </w:r>
      <w:r w:rsidRPr="00F40CDC">
        <w:rPr>
          <w:color w:val="000000" w:themeColor="text1"/>
          <w:u w:val="single" w:color="000000" w:themeColor="text1"/>
        </w:rPr>
        <w:t>However, the provisions of this section do not apply to any monument, memorial, or property under the jurisdiction and control of a political subdivision of this State, a school district, or a public institution of higher learning as defined in Section 59</w:t>
      </w:r>
      <w:r>
        <w:rPr>
          <w:color w:val="000000" w:themeColor="text1"/>
          <w:u w:val="single" w:color="000000" w:themeColor="text1"/>
        </w:rPr>
        <w:noBreakHyphen/>
      </w:r>
      <w:r w:rsidRPr="00F40CDC">
        <w:rPr>
          <w:color w:val="000000" w:themeColor="text1"/>
          <w:u w:val="single" w:color="000000" w:themeColor="text1"/>
        </w:rPr>
        <w:t>103</w:t>
      </w:r>
      <w:r>
        <w:rPr>
          <w:color w:val="000000" w:themeColor="text1"/>
          <w:u w:val="single" w:color="000000" w:themeColor="text1"/>
        </w:rPr>
        <w:noBreakHyphen/>
      </w:r>
      <w:r w:rsidRPr="00F40CDC">
        <w:rPr>
          <w:color w:val="000000" w:themeColor="text1"/>
          <w:u w:val="single" w:color="000000" w:themeColor="text1"/>
        </w:rPr>
        <w:t>5.</w:t>
      </w:r>
      <w:r>
        <w:t>”</w:t>
      </w:r>
    </w:p>
    <w:p w:rsidR="006811F9" w:rsidRDefault="006811F9" w:rsidP="00681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9FB" w:rsidRDefault="006811F9" w:rsidP="00681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B12B2" w:rsidRDefault="006811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A65" w:rsidRDefault="004F5A65" w:rsidP="004F5A65">
      <w:pPr>
        <w:suppressAutoHyphens/>
      </w:pPr>
    </w:p>
    <w:sectPr w:rsidR="004F5A65" w:rsidSect="004F5A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9FB" w:rsidRDefault="006C49FB" w:rsidP="009F0C77">
      <w:r>
        <w:separator/>
      </w:r>
    </w:p>
  </w:endnote>
  <w:endnote w:type="continuationSeparator" w:id="0">
    <w:p w:rsidR="006C49FB" w:rsidRDefault="006C4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4E6613-3ADD-4697-A114-1A8514D05120}"/>
    <w:embedBold r:id="rId2" w:fontKey="{070A652E-36A5-4156-8A8E-0DDA14F5554D}"/>
  </w:font>
  <w:font w:name="Calibri">
    <w:panose1 w:val="020F0502020204030204"/>
    <w:charset w:val="00"/>
    <w:family w:val="swiss"/>
    <w:pitch w:val="variable"/>
    <w:sig w:usb0="E4002EFF" w:usb1="C000247B" w:usb2="00000009" w:usb3="00000000" w:csb0="000001FF" w:csb1="00000000"/>
    <w:embedRegular r:id="rId3" w:fontKey="{326EB23A-7863-42DD-9B56-C2CE23435596}"/>
  </w:font>
  <w:font w:name="Cambria">
    <w:panose1 w:val="02040503050406030204"/>
    <w:charset w:val="00"/>
    <w:family w:val="roman"/>
    <w:pitch w:val="variable"/>
    <w:sig w:usb0="E00006FF" w:usb1="420024FF" w:usb2="02000000" w:usb3="00000000" w:csb0="0000019F" w:csb1="00000000"/>
    <w:embedRegular r:id="rId4" w:fontKey="{7D741C2B-3B80-42F0-9BAC-9173C2E492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B2" w:rsidRPr="004F5A65" w:rsidRDefault="004F5A65" w:rsidP="004F5A65">
    <w:pPr>
      <w:pStyle w:val="Footer"/>
      <w:tabs>
        <w:tab w:val="clear" w:pos="4680"/>
        <w:tab w:val="clear" w:pos="9360"/>
        <w:tab w:val="center" w:pos="2995"/>
      </w:tabs>
      <w:spacing w:before="120"/>
    </w:pPr>
    <w:r>
      <w:t>[165]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9FB" w:rsidRDefault="006C49FB" w:rsidP="009F0C77">
      <w:r>
        <w:separator/>
      </w:r>
    </w:p>
  </w:footnote>
  <w:footnote w:type="continuationSeparator" w:id="0">
    <w:p w:rsidR="006C49FB" w:rsidRDefault="006C4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9DG21"/>
    <w:docVar w:name="CoverBillType" w:val="b"/>
    <w:docVar w:name="DocPath" w:val="L:\Council\bills\NBD\11059DG21.DOCX"/>
    <w:docVar w:name="dvBillNumber" w:val="165"/>
    <w:docVar w:name="dvBillNumberPrefix" w:val="S. "/>
    <w:docVar w:name="dvOriginalBody" w:val="Senate"/>
    <w:docVar w:name="dvSteno" w:val="NBD"/>
    <w:docVar w:name="NameofBody" w:val="s"/>
    <w:docVar w:name="vGroup2" w:val="Council"/>
  </w:docVars>
  <w:rsids>
    <w:rsidRoot w:val="006C49FB"/>
    <w:rsid w:val="000263D9"/>
    <w:rsid w:val="00026C9A"/>
    <w:rsid w:val="000965A1"/>
    <w:rsid w:val="000C487D"/>
    <w:rsid w:val="000E1785"/>
    <w:rsid w:val="000F05F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74EE"/>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F5A65"/>
    <w:rsid w:val="00511EE9"/>
    <w:rsid w:val="00521E00"/>
    <w:rsid w:val="00577C6C"/>
    <w:rsid w:val="0058501B"/>
    <w:rsid w:val="005C5AC4"/>
    <w:rsid w:val="0061228A"/>
    <w:rsid w:val="006215AA"/>
    <w:rsid w:val="006340D9"/>
    <w:rsid w:val="00643B8E"/>
    <w:rsid w:val="00653ECC"/>
    <w:rsid w:val="00665EBC"/>
    <w:rsid w:val="00680479"/>
    <w:rsid w:val="006811F9"/>
    <w:rsid w:val="0069470D"/>
    <w:rsid w:val="006A476C"/>
    <w:rsid w:val="006C49FB"/>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2B2"/>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40D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3878A4-DC30-41DE-B4BF-0D47733B9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6129C-BB6B-435E-96A2-5E10A74C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1590</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165 Text of Previous Version (Dec. 9, 2020) - South Carolina Legislature Online</dc:title>
  <dc:subject/>
  <dc:creator>Niki Downey</dc:creator>
  <cp:keywords/>
  <dc:description/>
  <cp:lastModifiedBy>Sade Wilson</cp:lastModifiedBy>
  <cp:revision>2</cp:revision>
  <cp:lastPrinted>2020-11-25T16:06:00Z</cp:lastPrinted>
  <dcterms:created xsi:type="dcterms:W3CDTF">2020-12-12T02:55:00Z</dcterms:created>
  <dcterms:modified xsi:type="dcterms:W3CDTF">2020-12-12T02:55:00Z</dcterms:modified>
</cp:coreProperties>
</file>