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A2A59" w14:textId="771B895A"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67126EC" w14:textId="3362BCA8" w:rsidR="00096DFB" w:rsidRP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3FB1C77" w14:textId="42275B08"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53DF87" w14:textId="169905C7" w:rsidR="00096DFB"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077F6F93" w14:textId="0DB94B05"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2021</w:t>
      </w:r>
    </w:p>
    <w:p w14:paraId="6550FA41" w14:textId="751FD756"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EC70A" w14:textId="7898E910" w:rsidR="00096DFB" w:rsidRPr="00096DFB" w:rsidRDefault="00096DFB" w:rsidP="00096DFB">
      <w:pPr>
        <w:tabs>
          <w:tab w:val="right" w:pos="5933"/>
        </w:tabs>
        <w:suppressAutoHyphens/>
        <w:jc w:val="both"/>
        <w:rPr>
          <w:rFonts w:eastAsia="Times New Roman"/>
        </w:rPr>
      </w:pPr>
      <w:r>
        <w:rPr>
          <w:rFonts w:eastAsia="Times New Roman"/>
        </w:rPr>
        <w:tab/>
      </w:r>
      <w:r>
        <w:rPr>
          <w:rFonts w:eastAsia="Times New Roman"/>
          <w:b/>
          <w:sz w:val="36"/>
        </w:rPr>
        <w:t>S. 271</w:t>
      </w:r>
    </w:p>
    <w:p w14:paraId="1467FC7C" w14:textId="7DA71D9D"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28035A" w14:textId="243F4023" w:rsid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Talley, Turner, Rice, Adams, Verdin, Setzler, M. Johnson, Kimbrell and McElveen</w:t>
      </w:r>
    </w:p>
    <w:p w14:paraId="386341DF" w14:textId="340EA055"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99A3F" w14:textId="5689F2D8"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1766F7">
        <w:rPr>
          <w:rFonts w:eastAsia="Times New Roman"/>
        </w:rPr>
        <w:t>9</w:t>
      </w:r>
      <w:r>
        <w:rPr>
          <w:rFonts w:eastAsia="Times New Roman"/>
        </w:rPr>
        <w:t>/21--S.</w:t>
      </w:r>
    </w:p>
    <w:p w14:paraId="28C3F012" w14:textId="3D900926" w:rsidR="00096DFB" w:rsidRDefault="00096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FFF902E" w14:textId="04658F01" w:rsidR="00096DFB" w:rsidRPr="00096DFB" w:rsidRDefault="00096DFB"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E4F514" w14:textId="77777777" w:rsidR="00B20F68" w:rsidRDefault="00B20F6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0F68" w:rsidSect="00096DF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664AD92" w14:textId="539726D9" w:rsidR="00994E4A" w:rsidRPr="00522CE0" w:rsidRDefault="00994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927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01B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8BE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96C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1A0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0FB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A4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78BA" w14:textId="77777777" w:rsidR="00522CE0" w:rsidRPr="008F023B" w:rsidRDefault="00522CE0" w:rsidP="0099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CFE">
        <w:rPr>
          <w:rFonts w:eastAsia="Times New Roman"/>
          <w:b/>
          <w:sz w:val="30"/>
          <w:szCs w:val="30"/>
        </w:rPr>
        <w:t>BILL</w:t>
      </w:r>
    </w:p>
    <w:p w14:paraId="502862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75D68" w14:textId="4F9F10B3" w:rsidR="00522CE0" w:rsidRPr="00522CE0" w:rsidRDefault="001E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EXTEND THE PROVISIONS OF THE SOUTH CAROLINA ABANDONED BUILDINGS REVITALIZATION ACT</w:t>
      </w:r>
      <w:r w:rsidR="00BA269E">
        <w:rPr>
          <w:rFonts w:eastAsia="Times New Roman"/>
        </w:rPr>
        <w:t>,</w:t>
      </w:r>
      <w:r>
        <w:rPr>
          <w:rFonts w:eastAsia="Times New Roman"/>
        </w:rPr>
        <w:t xml:space="preserve"> AS CONTAINED IN CHAPTER 67, TITLE 12 OF THE 1976 CODE</w:t>
      </w:r>
      <w:r w:rsidR="00BA269E">
        <w:rPr>
          <w:rFonts w:eastAsia="Times New Roman"/>
        </w:rPr>
        <w:t>,</w:t>
      </w:r>
      <w:r>
        <w:rPr>
          <w:rFonts w:eastAsia="Times New Roman"/>
        </w:rPr>
        <w:t xml:space="preserve"> UNTIL DECEMBER 31, </w:t>
      </w:r>
      <w:r w:rsidR="009D3C2A">
        <w:rPr>
          <w:rFonts w:eastAsia="Times New Roman"/>
        </w:rPr>
        <w:t>2025</w:t>
      </w:r>
      <w:r>
        <w:rPr>
          <w:rFonts w:eastAsia="Times New Roman"/>
        </w:rPr>
        <w:t>.</w:t>
      </w:r>
      <w:bookmarkEnd w:id="1"/>
    </w:p>
    <w:p w14:paraId="0AA72C43" w14:textId="37CC0FD5" w:rsidR="00522CE0"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7D83A6C" w14:textId="77777777"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9B2C6"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2C24C0"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ADD40" w14:textId="5BED1DE6"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341">
        <w:rPr>
          <w:rFonts w:eastAsia="Times New Roman"/>
        </w:rPr>
        <w:t xml:space="preserve">Notwithstanding SECTION 1.B. of Act 57 of 2013, the provisions of Chapter 67, Title 12 of the 1976 Code are repealed on December 31, </w:t>
      </w:r>
      <w:r w:rsidR="009D3C2A">
        <w:rPr>
          <w:rFonts w:eastAsia="Times New Roman"/>
        </w:rPr>
        <w:t>2025</w:t>
      </w:r>
      <w:r w:rsidR="001E1341">
        <w:rPr>
          <w:rFonts w:eastAsia="Times New Roman"/>
        </w:rPr>
        <w:t>.</w:t>
      </w:r>
    </w:p>
    <w:p w14:paraId="2056B1B3"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0CA67" w14:textId="29D95114"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sidRPr="007B48EE">
        <w:rPr>
          <w:rFonts w:eastAsia="Times New Roman"/>
          <w:color w:val="000000" w:themeColor="text1"/>
          <w:szCs w:val="20"/>
          <w:u w:color="000000" w:themeColor="text1"/>
        </w:rPr>
        <w:t>.</w:t>
      </w:r>
      <w:r w:rsidRPr="007B48EE">
        <w:rPr>
          <w:rFonts w:eastAsia="Times New Roman"/>
          <w:color w:val="000000" w:themeColor="text1"/>
          <w:szCs w:val="20"/>
          <w:u w:color="000000" w:themeColor="text1"/>
        </w:rPr>
        <w:tab/>
        <w:t>A.</w:t>
      </w:r>
      <w:r w:rsidRPr="007B48EE">
        <w:rPr>
          <w:rFonts w:eastAsia="Times New Roman"/>
          <w:color w:val="000000" w:themeColor="text1"/>
          <w:szCs w:val="20"/>
          <w:u w:color="000000" w:themeColor="text1"/>
        </w:rPr>
        <w:tab/>
        <w:t>Section 12</w:t>
      </w:r>
      <w:r w:rsidRPr="007B48EE">
        <w:rPr>
          <w:rFonts w:eastAsia="Times New Roman"/>
          <w:color w:val="000000" w:themeColor="text1"/>
          <w:szCs w:val="20"/>
          <w:u w:color="000000" w:themeColor="text1"/>
        </w:rPr>
        <w:noBreakHyphen/>
        <w:t>65</w:t>
      </w:r>
      <w:r w:rsidRPr="007B48EE">
        <w:rPr>
          <w:rFonts w:eastAsia="Times New Roman"/>
          <w:color w:val="000000" w:themeColor="text1"/>
          <w:szCs w:val="20"/>
          <w:u w:color="000000" w:themeColor="text1"/>
        </w:rPr>
        <w:noBreakHyphen/>
        <w:t>20(4)(b) of the 1976 Code, as last amended by Act 50 of 2019, is further amended to read:</w:t>
      </w:r>
    </w:p>
    <w:p w14:paraId="7DE1930D"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1D35E6B"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B48EE">
        <w:rPr>
          <w:rFonts w:eastAsia="Times New Roman"/>
          <w:color w:val="000000" w:themeColor="text1"/>
          <w:szCs w:val="20"/>
          <w:u w:color="000000" w:themeColor="text1"/>
        </w:rPr>
        <w:tab/>
        <w:t>“(b)</w:t>
      </w:r>
      <w:r w:rsidRPr="007B48EE">
        <w:rPr>
          <w:rFonts w:eastAsia="Times New Roman"/>
          <w:color w:val="000000" w:themeColor="text1"/>
          <w:szCs w:val="20"/>
          <w:u w:color="000000" w:themeColor="text1"/>
        </w:rPr>
        <w:tab/>
        <w:t xml:space="preserve">Notwithstanding the provisions of item (4)(a), with respect to (i) any site acquired by a taxpayer before January 1, 2008, (ii) a site located on the Catawba River near Interstate 77, or (iii) a site which, on the date the notice of intent to rehabilitate is filed, is located in a distressed area of a county in this State, as designated by the applicable council of government, ‘textile mill site’ means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subitem, ‘contiguous parcel’ means any separate tax parcel sharing a common boundary with an adjacent parcel or separated only by </w:t>
      </w:r>
      <w:r w:rsidRPr="007B48EE">
        <w:rPr>
          <w:rFonts w:eastAsia="Times New Roman"/>
          <w:strike/>
          <w:color w:val="000000" w:themeColor="text1"/>
          <w:szCs w:val="20"/>
          <w:u w:color="000000" w:themeColor="text1"/>
        </w:rPr>
        <w:t>a</w:t>
      </w:r>
      <w:r w:rsidRPr="007B48EE">
        <w:rPr>
          <w:rFonts w:eastAsia="Times New Roman"/>
          <w:color w:val="000000" w:themeColor="text1"/>
          <w:szCs w:val="20"/>
          <w:u w:color="000000" w:themeColor="text1"/>
        </w:rPr>
        <w:t xml:space="preserve"> private or public </w:t>
      </w:r>
      <w:r w:rsidRPr="007B48EE">
        <w:rPr>
          <w:rFonts w:eastAsia="Times New Roman"/>
          <w:strike/>
          <w:color w:val="000000" w:themeColor="text1"/>
          <w:szCs w:val="20"/>
          <w:u w:color="000000" w:themeColor="text1"/>
        </w:rPr>
        <w:t>road</w:t>
      </w:r>
      <w:r w:rsidRPr="007B48EE">
        <w:rPr>
          <w:rFonts w:eastAsia="Times New Roman"/>
          <w:color w:val="000000" w:themeColor="text1"/>
          <w:szCs w:val="20"/>
          <w:u w:color="000000" w:themeColor="text1"/>
        </w:rPr>
        <w:t xml:space="preserve"> </w:t>
      </w:r>
      <w:r w:rsidRPr="007B48EE">
        <w:rPr>
          <w:rFonts w:eastAsia="Times New Roman"/>
          <w:color w:val="000000" w:themeColor="text1"/>
          <w:szCs w:val="20"/>
          <w:u w:val="single" w:color="000000" w:themeColor="text1"/>
        </w:rPr>
        <w:t>roads and railroad rights of way</w:t>
      </w:r>
      <w:r w:rsidRPr="007B48EE">
        <w:rPr>
          <w:rFonts w:eastAsia="Times New Roman"/>
          <w:color w:val="000000" w:themeColor="text1"/>
          <w:szCs w:val="20"/>
          <w:u w:color="000000" w:themeColor="text1"/>
        </w:rPr>
        <w:t>.”</w:t>
      </w:r>
    </w:p>
    <w:p w14:paraId="34DA2316"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F80D245" w14:textId="77777777" w:rsidR="001766F7"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48EE">
        <w:rPr>
          <w:rFonts w:eastAsia="Times New Roman"/>
          <w:color w:val="000000" w:themeColor="text1"/>
          <w:szCs w:val="20"/>
          <w:u w:color="000000" w:themeColor="text1"/>
        </w:rPr>
        <w:lastRenderedPageBreak/>
        <w:t>B.</w:t>
      </w:r>
      <w:r w:rsidRPr="007B48EE">
        <w:rPr>
          <w:rFonts w:eastAsia="Times New Roman"/>
          <w:color w:val="000000" w:themeColor="text1"/>
          <w:szCs w:val="20"/>
          <w:u w:color="000000" w:themeColor="text1"/>
        </w:rPr>
        <w:tab/>
        <w:t>This SECTION takes effect upon approval by the Governor and first applies to tax years beginning after 2020.</w:t>
      </w:r>
    </w:p>
    <w:p w14:paraId="42988F42" w14:textId="77777777"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BE483" w14:textId="7F76302E" w:rsidR="00D34CFE" w:rsidRPr="00522CE0"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66F7">
        <w:rPr>
          <w:rFonts w:eastAsia="Times New Roman"/>
        </w:rPr>
        <w:t>3</w:t>
      </w:r>
      <w:r>
        <w:rPr>
          <w:rFonts w:eastAsia="Times New Roman"/>
        </w:rPr>
        <w:t>.</w:t>
      </w:r>
      <w:r>
        <w:rPr>
          <w:rFonts w:eastAsia="Times New Roman"/>
        </w:rPr>
        <w:tab/>
        <w:t>This act takes effect upon approval by the Governor.</w:t>
      </w:r>
    </w:p>
    <w:p w14:paraId="03179E7A" w14:textId="3F618F49" w:rsidR="00ED3AAD" w:rsidRDefault="00FF41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7745BE9" w14:textId="77777777" w:rsidR="00D74E44" w:rsidRDefault="00D74E44" w:rsidP="00D74E44">
      <w:pPr>
        <w:suppressAutoHyphens/>
        <w:jc w:val="both"/>
        <w:rPr>
          <w:rFonts w:eastAsia="Times New Roman"/>
        </w:rPr>
      </w:pPr>
    </w:p>
    <w:sectPr w:rsidR="00D74E44" w:rsidSect="00096D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AA66" w14:textId="77777777" w:rsidR="00096DFB" w:rsidRDefault="00096DFB" w:rsidP="00522CE0">
      <w:r>
        <w:separator/>
      </w:r>
    </w:p>
  </w:endnote>
  <w:endnote w:type="continuationSeparator" w:id="0">
    <w:p w14:paraId="2EAAE43E" w14:textId="77777777" w:rsidR="00096DFB" w:rsidRDefault="00096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1EBA88-42B6-4454-8906-CB2A92EFA814}"/>
    <w:embedBold r:id="rId2" w:fontKey="{473F2E6F-F38F-43E5-B32A-D1F931605699}"/>
  </w:font>
  <w:font w:name="Calibri">
    <w:panose1 w:val="020F0502020204030204"/>
    <w:charset w:val="00"/>
    <w:family w:val="swiss"/>
    <w:pitch w:val="variable"/>
    <w:sig w:usb0="E0002EFF" w:usb1="C000247B" w:usb2="00000009" w:usb3="00000000" w:csb0="000001FF" w:csb1="00000000"/>
    <w:embedRegular r:id="rId3" w:fontKey="{C7D70ECE-E3B5-438D-B1C9-7381D349DE10}"/>
    <w:embedBold r:id="rId4" w:fontKey="{E50E0E95-F789-4E80-A6FF-3C8BF9BCFB2C}"/>
  </w:font>
  <w:font w:name="Segoe UI">
    <w:panose1 w:val="020B0502040204020203"/>
    <w:charset w:val="00"/>
    <w:family w:val="swiss"/>
    <w:pitch w:val="variable"/>
    <w:sig w:usb0="E4002EFF" w:usb1="C000E47F" w:usb2="00000009" w:usb3="00000000" w:csb0="000001FF" w:csb1="00000000"/>
    <w:embedRegular r:id="rId5" w:fontKey="{DAC4E7F7-BFF2-4C84-A5F5-DBEC9A87AA63}"/>
  </w:font>
  <w:font w:name="Cambria">
    <w:panose1 w:val="02040503050406030204"/>
    <w:charset w:val="00"/>
    <w:family w:val="roman"/>
    <w:pitch w:val="variable"/>
    <w:sig w:usb0="E00006FF" w:usb1="420024FF" w:usb2="02000000" w:usb3="00000000" w:csb0="0000019F" w:csb1="00000000"/>
    <w:embedRegular r:id="rId6" w:fontKey="{E7B1700C-BBE8-44D4-9891-51EE5DC01B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E563" w14:textId="30FF9341" w:rsidR="00096DFB" w:rsidRPr="00994E4A" w:rsidRDefault="00096DFB" w:rsidP="00994E4A">
    <w:pPr>
      <w:pStyle w:val="Footer"/>
      <w:tabs>
        <w:tab w:val="clear" w:pos="4680"/>
        <w:tab w:val="clear" w:pos="9360"/>
        <w:tab w:val="center" w:pos="2995"/>
      </w:tabs>
      <w:spacing w:before="120"/>
    </w:pPr>
    <w:r>
      <w:t>[271-</w:t>
    </w:r>
    <w:r>
      <w:fldChar w:fldCharType="begin"/>
    </w:r>
    <w:r>
      <w:instrText xml:space="preserve"> PAGE  \* MERGEFORMAT </w:instrText>
    </w:r>
    <w:r>
      <w:fldChar w:fldCharType="separate"/>
    </w:r>
    <w:r w:rsidR="00D74E4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9BC6" w14:textId="1CE428DD" w:rsidR="00096DFB" w:rsidRPr="00994E4A" w:rsidRDefault="00096DFB" w:rsidP="00994E4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D74E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2D1EF" w14:textId="77777777" w:rsidR="00096DFB" w:rsidRDefault="00096DFB" w:rsidP="00522CE0">
      <w:r>
        <w:separator/>
      </w:r>
    </w:p>
  </w:footnote>
  <w:footnote w:type="continuationSeparator" w:id="0">
    <w:p w14:paraId="14E5B56F" w14:textId="77777777" w:rsidR="00096DFB" w:rsidRDefault="00096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 A.KMM.SFT"/>
    <w:docVar w:name="CoverAttorneyInitials" w:val="KMM"/>
    <w:docVar w:name="CoverAttorneyLastName" w:val="Moffitt"/>
    <w:docVar w:name="CoverBillType" w:val="b"/>
    <w:docVar w:name="CoverSenator" w:val="SFT"/>
    <w:docVar w:name="dvBillNumber" w:val="271"/>
    <w:docVar w:name="dvBillNumberPrefix" w:val="S. "/>
    <w:docVar w:name="dvOriginalBody" w:val="Senate"/>
    <w:docVar w:name="fulldraftpath" w:val="L:\S-RES\SFT\002SC A.KMM.SFT.DOCX"/>
    <w:docVar w:name="NameofBody" w:val="S"/>
    <w:docVar w:name="vgroup2" w:val="S-RES"/>
  </w:docVars>
  <w:rsids>
    <w:rsidRoot w:val="00D34CFE"/>
    <w:rsid w:val="00042AC1"/>
    <w:rsid w:val="00046516"/>
    <w:rsid w:val="00072458"/>
    <w:rsid w:val="0007601D"/>
    <w:rsid w:val="00096DFB"/>
    <w:rsid w:val="000B0720"/>
    <w:rsid w:val="000B5EAF"/>
    <w:rsid w:val="001315B2"/>
    <w:rsid w:val="00170561"/>
    <w:rsid w:val="00174988"/>
    <w:rsid w:val="001766F7"/>
    <w:rsid w:val="001840A3"/>
    <w:rsid w:val="00186AC9"/>
    <w:rsid w:val="00197DF1"/>
    <w:rsid w:val="001B3DD9"/>
    <w:rsid w:val="001B7E5D"/>
    <w:rsid w:val="001D3BAC"/>
    <w:rsid w:val="001E1341"/>
    <w:rsid w:val="00216025"/>
    <w:rsid w:val="00245C4E"/>
    <w:rsid w:val="002C1321"/>
    <w:rsid w:val="002C2031"/>
    <w:rsid w:val="002C5896"/>
    <w:rsid w:val="002D3BED"/>
    <w:rsid w:val="002D4BCD"/>
    <w:rsid w:val="00307C2B"/>
    <w:rsid w:val="00315D04"/>
    <w:rsid w:val="00331FC9"/>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73F"/>
    <w:rsid w:val="008E185F"/>
    <w:rsid w:val="008F023B"/>
    <w:rsid w:val="00903A84"/>
    <w:rsid w:val="00904E16"/>
    <w:rsid w:val="009162B3"/>
    <w:rsid w:val="00927C62"/>
    <w:rsid w:val="00955E0C"/>
    <w:rsid w:val="00983951"/>
    <w:rsid w:val="00984124"/>
    <w:rsid w:val="00984640"/>
    <w:rsid w:val="00994E4A"/>
    <w:rsid w:val="00995C37"/>
    <w:rsid w:val="009C118A"/>
    <w:rsid w:val="009D3C2A"/>
    <w:rsid w:val="00A02011"/>
    <w:rsid w:val="00A4011E"/>
    <w:rsid w:val="00A86015"/>
    <w:rsid w:val="00A9594E"/>
    <w:rsid w:val="00AE59C8"/>
    <w:rsid w:val="00B10098"/>
    <w:rsid w:val="00B20F68"/>
    <w:rsid w:val="00B5790D"/>
    <w:rsid w:val="00B945C5"/>
    <w:rsid w:val="00BA20EA"/>
    <w:rsid w:val="00BA269E"/>
    <w:rsid w:val="00BB5AFC"/>
    <w:rsid w:val="00BC026E"/>
    <w:rsid w:val="00BC0A56"/>
    <w:rsid w:val="00C45366"/>
    <w:rsid w:val="00C57023"/>
    <w:rsid w:val="00C60056"/>
    <w:rsid w:val="00C74052"/>
    <w:rsid w:val="00C9526D"/>
    <w:rsid w:val="00CB187A"/>
    <w:rsid w:val="00CC0EC7"/>
    <w:rsid w:val="00CC251A"/>
    <w:rsid w:val="00CF2C98"/>
    <w:rsid w:val="00D1088B"/>
    <w:rsid w:val="00D1286F"/>
    <w:rsid w:val="00D14DE6"/>
    <w:rsid w:val="00D156D2"/>
    <w:rsid w:val="00D34CFE"/>
    <w:rsid w:val="00D35486"/>
    <w:rsid w:val="00D53E29"/>
    <w:rsid w:val="00D74E44"/>
    <w:rsid w:val="00D86943"/>
    <w:rsid w:val="00DA3C6B"/>
    <w:rsid w:val="00DA47B9"/>
    <w:rsid w:val="00DE5635"/>
    <w:rsid w:val="00E058D3"/>
    <w:rsid w:val="00E12CA0"/>
    <w:rsid w:val="00E2236D"/>
    <w:rsid w:val="00E76AD9"/>
    <w:rsid w:val="00E86EE2"/>
    <w:rsid w:val="00E91E2F"/>
    <w:rsid w:val="00EA3546"/>
    <w:rsid w:val="00EB47AE"/>
    <w:rsid w:val="00EC34E1"/>
    <w:rsid w:val="00ED3AAD"/>
    <w:rsid w:val="00F0234A"/>
    <w:rsid w:val="00F05CF2"/>
    <w:rsid w:val="00F51241"/>
    <w:rsid w:val="00F52959"/>
    <w:rsid w:val="00F55884"/>
    <w:rsid w:val="00FB6698"/>
    <w:rsid w:val="00FB7F01"/>
    <w:rsid w:val="00FC0D36"/>
    <w:rsid w:val="00FC3A2B"/>
    <w:rsid w:val="00FE6467"/>
    <w:rsid w:val="00FF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2EF49C"/>
  <w15:docId w15:val="{7740AD71-8A16-483C-A84F-9834559A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269E"/>
    <w:rPr>
      <w:sz w:val="16"/>
      <w:szCs w:val="16"/>
    </w:rPr>
  </w:style>
  <w:style w:type="paragraph" w:styleId="CommentText">
    <w:name w:val="annotation text"/>
    <w:basedOn w:val="Normal"/>
    <w:link w:val="CommentTextChar"/>
    <w:uiPriority w:val="99"/>
    <w:semiHidden/>
    <w:unhideWhenUsed/>
    <w:rsid w:val="00BA269E"/>
    <w:rPr>
      <w:sz w:val="20"/>
      <w:szCs w:val="20"/>
    </w:rPr>
  </w:style>
  <w:style w:type="character" w:customStyle="1" w:styleId="CommentTextChar">
    <w:name w:val="Comment Text Char"/>
    <w:basedOn w:val="DefaultParagraphFont"/>
    <w:link w:val="CommentText"/>
    <w:uiPriority w:val="99"/>
    <w:semiHidden/>
    <w:rsid w:val="00BA269E"/>
    <w:rPr>
      <w:sz w:val="20"/>
      <w:szCs w:val="20"/>
    </w:rPr>
  </w:style>
  <w:style w:type="paragraph" w:styleId="CommentSubject">
    <w:name w:val="annotation subject"/>
    <w:basedOn w:val="CommentText"/>
    <w:next w:val="CommentText"/>
    <w:link w:val="CommentSubjectChar"/>
    <w:uiPriority w:val="99"/>
    <w:semiHidden/>
    <w:unhideWhenUsed/>
    <w:rsid w:val="00BA269E"/>
    <w:rPr>
      <w:b/>
      <w:bCs/>
    </w:rPr>
  </w:style>
  <w:style w:type="character" w:customStyle="1" w:styleId="CommentSubjectChar">
    <w:name w:val="Comment Subject Char"/>
    <w:basedOn w:val="CommentTextChar"/>
    <w:link w:val="CommentSubject"/>
    <w:uiPriority w:val="99"/>
    <w:semiHidden/>
    <w:rsid w:val="00BA269E"/>
    <w:rPr>
      <w:b/>
      <w:bCs/>
      <w:sz w:val="20"/>
      <w:szCs w:val="20"/>
    </w:rPr>
  </w:style>
  <w:style w:type="paragraph" w:styleId="BalloonText">
    <w:name w:val="Balloon Text"/>
    <w:basedOn w:val="Normal"/>
    <w:link w:val="BalloonTextChar"/>
    <w:uiPriority w:val="99"/>
    <w:semiHidden/>
    <w:unhideWhenUsed/>
    <w:rsid w:val="00BA2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317</Words>
  <Characters>1572</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2021-2022 Bill 271 Text of Previous Version (Dec. 9, 2020) - South Carolina Legislature Online</vt:lpstr>
    </vt:vector>
  </TitlesOfParts>
  <Company>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271 Text of Previous Version (Feb. 9, 2021) - South Carolina Legislature Online</dc:title>
  <dc:subject/>
  <dc:creator>Rebecca Landau</dc:creator>
  <cp:keywords/>
  <dc:description/>
  <cp:lastModifiedBy>David Brunson</cp:lastModifiedBy>
  <cp:revision>2</cp:revision>
  <dcterms:created xsi:type="dcterms:W3CDTF">2021-02-09T23:54:00Z</dcterms:created>
  <dcterms:modified xsi:type="dcterms:W3CDTF">2021-02-09T23:54:00Z</dcterms:modified>
</cp:coreProperties>
</file>