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20E0" w:rsidRDefault="004120E0" w:rsidP="00AD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D4C74" w:rsidRDefault="00AD4C74" w:rsidP="00AD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C74" w:rsidRDefault="00AD4C74" w:rsidP="00AD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C74" w:rsidRDefault="00AD4C74" w:rsidP="00AD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C74" w:rsidRDefault="00AD4C74" w:rsidP="00AD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C74" w:rsidRDefault="00AD4C74" w:rsidP="00AD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C74" w:rsidRDefault="00AD4C74" w:rsidP="00AD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2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6FF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79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E08C5">
        <w:rPr>
          <w:color w:val="000000" w:themeColor="text1"/>
          <w:u w:color="000000" w:themeColor="text1"/>
        </w:rPr>
        <w:t>TO AMEND THE CODE OF LAWS OF SOUTH CAROLINA, 1976, BY ADDING SECTION 44</w:t>
      </w:r>
      <w:r w:rsidR="00EE73D5">
        <w:rPr>
          <w:color w:val="000000" w:themeColor="text1"/>
          <w:u w:color="000000" w:themeColor="text1"/>
        </w:rPr>
        <w:noBreakHyphen/>
      </w:r>
      <w:r w:rsidRPr="00FE08C5">
        <w:rPr>
          <w:color w:val="000000" w:themeColor="text1"/>
          <w:u w:color="000000" w:themeColor="text1"/>
        </w:rPr>
        <w:t>29</w:t>
      </w:r>
      <w:r w:rsidR="00EE73D5">
        <w:rPr>
          <w:color w:val="000000" w:themeColor="text1"/>
          <w:u w:color="000000" w:themeColor="text1"/>
        </w:rPr>
        <w:noBreakHyphen/>
      </w:r>
      <w:r w:rsidRPr="00FE08C5">
        <w:rPr>
          <w:color w:val="000000" w:themeColor="text1"/>
          <w:u w:color="000000" w:themeColor="text1"/>
        </w:rPr>
        <w:t>45 SO AS TO ALLOW INDIVIDUALS TO OPT OUT OF INFECTIOUS OR CONTAGIOUS DISEASE VACCINATIONS FOR ANY REASON; AND TO AMEND SECTION 44</w:t>
      </w:r>
      <w:r w:rsidR="00EE73D5">
        <w:rPr>
          <w:color w:val="000000" w:themeColor="text1"/>
          <w:u w:color="000000" w:themeColor="text1"/>
        </w:rPr>
        <w:noBreakHyphen/>
      </w:r>
      <w:r w:rsidRPr="00FE08C5">
        <w:rPr>
          <w:color w:val="000000" w:themeColor="text1"/>
          <w:u w:color="000000" w:themeColor="text1"/>
        </w:rPr>
        <w:t>53</w:t>
      </w:r>
      <w:r w:rsidR="00EE73D5">
        <w:rPr>
          <w:color w:val="000000" w:themeColor="text1"/>
          <w:u w:color="000000" w:themeColor="text1"/>
        </w:rPr>
        <w:noBreakHyphen/>
      </w:r>
      <w:r w:rsidRPr="00FE08C5">
        <w:rPr>
          <w:color w:val="000000" w:themeColor="text1"/>
          <w:u w:color="000000" w:themeColor="text1"/>
        </w:rPr>
        <w:t>360, AS AMENDED, RELATING TO PRESCRIPTIONS, SO AS TO PROHIBIT REGULATORY AUTHORITIES FROM INTERFERING WITH THE PRESCRIBING PRACTICES OF A PRACTITIONER.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6FF6" w:rsidRDefault="00616F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6FF6" w:rsidRDefault="00616F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94B" w:rsidRPr="00FE08C5" w:rsidRDefault="00616FF6" w:rsidP="00667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6794B" w:rsidRPr="00FE08C5">
        <w:rPr>
          <w:color w:val="000000" w:themeColor="text1"/>
          <w:u w:color="000000" w:themeColor="text1"/>
        </w:rPr>
        <w:t>Chapter 29, Title 44 of the 1976 Code is amended by adding:</w:t>
      </w:r>
    </w:p>
    <w:p w:rsidR="0066794B" w:rsidRPr="00FE08C5" w:rsidRDefault="0066794B" w:rsidP="00667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94B" w:rsidRPr="00FE08C5" w:rsidRDefault="00933362" w:rsidP="00667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6794B" w:rsidRPr="00FE08C5">
        <w:rPr>
          <w:color w:val="000000" w:themeColor="text1"/>
          <w:u w:color="000000" w:themeColor="text1"/>
        </w:rPr>
        <w:t>“Section 44</w:t>
      </w:r>
      <w:r w:rsidR="00EE73D5">
        <w:rPr>
          <w:color w:val="000000" w:themeColor="text1"/>
          <w:u w:color="000000" w:themeColor="text1"/>
        </w:rPr>
        <w:noBreakHyphen/>
      </w:r>
      <w:r w:rsidR="0066794B" w:rsidRPr="00FE08C5">
        <w:rPr>
          <w:color w:val="000000" w:themeColor="text1"/>
          <w:u w:color="000000" w:themeColor="text1"/>
        </w:rPr>
        <w:t>29</w:t>
      </w:r>
      <w:r w:rsidR="00EE73D5">
        <w:rPr>
          <w:color w:val="000000" w:themeColor="text1"/>
          <w:u w:color="000000" w:themeColor="text1"/>
        </w:rPr>
        <w:noBreakHyphen/>
      </w:r>
      <w:r>
        <w:rPr>
          <w:color w:val="000000" w:themeColor="text1"/>
          <w:u w:color="000000" w:themeColor="text1"/>
        </w:rPr>
        <w:t>45.</w:t>
      </w:r>
      <w:r>
        <w:rPr>
          <w:color w:val="000000" w:themeColor="text1"/>
          <w:u w:color="000000" w:themeColor="text1"/>
        </w:rPr>
        <w:tab/>
      </w:r>
      <w:r w:rsidR="0066794B" w:rsidRPr="00FE08C5">
        <w:rPr>
          <w:color w:val="000000" w:themeColor="text1"/>
          <w:u w:color="000000" w:themeColor="text1"/>
        </w:rPr>
        <w:t xml:space="preserve">Any vaccination offered by the Department of Health and Environmental Control as part of any mass immunization project to protect against infectious disease, or to prevent the spread of a pandemic or a contagious or possibly contagious disease, may be </w:t>
      </w:r>
      <w:r w:rsidR="00572705">
        <w:rPr>
          <w:color w:val="000000" w:themeColor="text1"/>
          <w:u w:color="000000" w:themeColor="text1"/>
        </w:rPr>
        <w:t>provided only</w:t>
      </w:r>
      <w:r w:rsidR="0066794B" w:rsidRPr="00FE08C5">
        <w:rPr>
          <w:color w:val="000000" w:themeColor="text1"/>
          <w:u w:color="000000" w:themeColor="text1"/>
        </w:rPr>
        <w:t xml:space="preserve"> to those individuals who </w:t>
      </w:r>
      <w:r w:rsidR="008727A3">
        <w:rPr>
          <w:color w:val="000000" w:themeColor="text1"/>
          <w:u w:color="000000" w:themeColor="text1"/>
        </w:rPr>
        <w:t>agree</w:t>
      </w:r>
      <w:r w:rsidR="00572705">
        <w:rPr>
          <w:color w:val="000000" w:themeColor="text1"/>
          <w:u w:color="000000" w:themeColor="text1"/>
        </w:rPr>
        <w:t xml:space="preserve"> </w:t>
      </w:r>
      <w:r w:rsidR="008727A3">
        <w:rPr>
          <w:color w:val="000000" w:themeColor="text1"/>
          <w:u w:color="000000" w:themeColor="text1"/>
        </w:rPr>
        <w:t xml:space="preserve"> </w:t>
      </w:r>
      <w:r w:rsidR="009528B6">
        <w:rPr>
          <w:color w:val="000000" w:themeColor="text1"/>
          <w:u w:color="000000" w:themeColor="text1"/>
        </w:rPr>
        <w:t>to the vaccination</w:t>
      </w:r>
      <w:r w:rsidR="00572705">
        <w:rPr>
          <w:color w:val="000000" w:themeColor="text1"/>
          <w:u w:color="000000" w:themeColor="text1"/>
        </w:rPr>
        <w:t>, in accordance with Section 44-4-520(B)</w:t>
      </w:r>
      <w:r w:rsidR="0066794B" w:rsidRPr="00FE08C5">
        <w:rPr>
          <w:color w:val="000000" w:themeColor="text1"/>
          <w:u w:color="000000" w:themeColor="text1"/>
        </w:rPr>
        <w:t>. For purposes of this section:</w:t>
      </w:r>
    </w:p>
    <w:p w:rsidR="0066794B" w:rsidRPr="00FE08C5" w:rsidRDefault="00933362" w:rsidP="00667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6794B" w:rsidRPr="00FE08C5">
        <w:rPr>
          <w:color w:val="000000" w:themeColor="text1"/>
          <w:u w:color="000000" w:themeColor="text1"/>
        </w:rPr>
        <w:t>(1)</w:t>
      </w:r>
      <w:r>
        <w:rPr>
          <w:color w:val="000000" w:themeColor="text1"/>
          <w:u w:color="000000" w:themeColor="text1"/>
        </w:rPr>
        <w:tab/>
      </w:r>
      <w:r w:rsidR="00EE73D5" w:rsidRPr="00EE73D5">
        <w:rPr>
          <w:color w:val="000000" w:themeColor="text1"/>
          <w:u w:color="000000" w:themeColor="text1"/>
        </w:rPr>
        <w:t>‘</w:t>
      </w:r>
      <w:r w:rsidR="0066794B" w:rsidRPr="00FE08C5">
        <w:rPr>
          <w:color w:val="000000" w:themeColor="text1"/>
          <w:u w:color="000000" w:themeColor="text1"/>
        </w:rPr>
        <w:t>Infectious disease</w:t>
      </w:r>
      <w:r w:rsidR="00EE73D5" w:rsidRPr="00EE73D5">
        <w:rPr>
          <w:color w:val="000000" w:themeColor="text1"/>
          <w:u w:color="000000" w:themeColor="text1"/>
        </w:rPr>
        <w:t>’</w:t>
      </w:r>
      <w:r w:rsidR="0066794B" w:rsidRPr="00FE08C5">
        <w:rPr>
          <w:color w:val="000000" w:themeColor="text1"/>
          <w:u w:color="000000" w:themeColor="text1"/>
        </w:rPr>
        <w:t xml:space="preserve"> has the same meaning as defined in Section 44</w:t>
      </w:r>
      <w:r w:rsidR="00EE73D5">
        <w:rPr>
          <w:color w:val="000000" w:themeColor="text1"/>
          <w:u w:color="000000" w:themeColor="text1"/>
        </w:rPr>
        <w:noBreakHyphen/>
      </w:r>
      <w:r w:rsidR="0066794B" w:rsidRPr="00FE08C5">
        <w:rPr>
          <w:color w:val="000000" w:themeColor="text1"/>
          <w:u w:color="000000" w:themeColor="text1"/>
        </w:rPr>
        <w:t>4</w:t>
      </w:r>
      <w:r w:rsidR="00EE73D5">
        <w:rPr>
          <w:color w:val="000000" w:themeColor="text1"/>
          <w:u w:color="000000" w:themeColor="text1"/>
        </w:rPr>
        <w:noBreakHyphen/>
      </w:r>
      <w:r w:rsidR="0066794B" w:rsidRPr="00FE08C5">
        <w:rPr>
          <w:color w:val="000000" w:themeColor="text1"/>
          <w:u w:color="000000" w:themeColor="text1"/>
        </w:rPr>
        <w:t>130.</w:t>
      </w:r>
    </w:p>
    <w:p w:rsidR="0066794B" w:rsidRPr="00FE08C5" w:rsidRDefault="00933362" w:rsidP="00667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6794B" w:rsidRPr="00FE08C5">
        <w:rPr>
          <w:color w:val="000000" w:themeColor="text1"/>
          <w:u w:color="000000" w:themeColor="text1"/>
        </w:rPr>
        <w:t>(2)</w:t>
      </w:r>
      <w:r>
        <w:rPr>
          <w:color w:val="000000" w:themeColor="text1"/>
          <w:u w:color="000000" w:themeColor="text1"/>
        </w:rPr>
        <w:tab/>
      </w:r>
      <w:r w:rsidR="00EE73D5" w:rsidRPr="00EE73D5">
        <w:rPr>
          <w:color w:val="000000" w:themeColor="text1"/>
          <w:u w:color="000000" w:themeColor="text1"/>
        </w:rPr>
        <w:t>‘</w:t>
      </w:r>
      <w:r w:rsidR="0066794B" w:rsidRPr="00FE08C5">
        <w:rPr>
          <w:color w:val="000000" w:themeColor="text1"/>
          <w:u w:color="000000" w:themeColor="text1"/>
        </w:rPr>
        <w:t>Pandemic</w:t>
      </w:r>
      <w:r w:rsidR="00EE73D5" w:rsidRPr="00EE73D5">
        <w:rPr>
          <w:color w:val="000000" w:themeColor="text1"/>
          <w:u w:color="000000" w:themeColor="text1"/>
        </w:rPr>
        <w:t>’</w:t>
      </w:r>
      <w:r w:rsidR="0066794B" w:rsidRPr="00FE08C5">
        <w:rPr>
          <w:color w:val="000000" w:themeColor="text1"/>
          <w:u w:color="000000" w:themeColor="text1"/>
        </w:rPr>
        <w:t xml:space="preserve"> means an outbreak of a disease that occurs over a wide geographic area that affects an exceptionally high proportion of the population including, but not limited to, COVID</w:t>
      </w:r>
      <w:r w:rsidR="00EE73D5">
        <w:rPr>
          <w:color w:val="000000" w:themeColor="text1"/>
          <w:u w:color="000000" w:themeColor="text1"/>
        </w:rPr>
        <w:noBreakHyphen/>
      </w:r>
      <w:r w:rsidR="0066794B" w:rsidRPr="00FE08C5">
        <w:rPr>
          <w:color w:val="000000" w:themeColor="text1"/>
          <w:u w:color="000000" w:themeColor="text1"/>
        </w:rPr>
        <w:t>19.”</w:t>
      </w:r>
    </w:p>
    <w:p w:rsidR="0066794B" w:rsidRPr="00FE08C5" w:rsidRDefault="0066794B" w:rsidP="00667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94B" w:rsidRPr="00FE08C5" w:rsidRDefault="0066794B" w:rsidP="00667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8C5">
        <w:rPr>
          <w:color w:val="000000" w:themeColor="text1"/>
          <w:u w:color="000000" w:themeColor="text1"/>
        </w:rPr>
        <w:t>SECTION</w:t>
      </w:r>
      <w:r w:rsidR="00933362">
        <w:rPr>
          <w:color w:val="000000" w:themeColor="text1"/>
          <w:u w:color="000000" w:themeColor="text1"/>
        </w:rPr>
        <w:tab/>
      </w:r>
      <w:r w:rsidRPr="00FE08C5">
        <w:rPr>
          <w:color w:val="000000" w:themeColor="text1"/>
          <w:u w:color="000000" w:themeColor="text1"/>
        </w:rPr>
        <w:t>2.</w:t>
      </w:r>
      <w:r w:rsidR="00933362">
        <w:rPr>
          <w:color w:val="000000" w:themeColor="text1"/>
          <w:u w:color="000000" w:themeColor="text1"/>
        </w:rPr>
        <w:tab/>
      </w:r>
      <w:r w:rsidRPr="00FE08C5">
        <w:rPr>
          <w:color w:val="000000" w:themeColor="text1"/>
          <w:u w:color="000000" w:themeColor="text1"/>
        </w:rPr>
        <w:t>Section 44</w:t>
      </w:r>
      <w:r w:rsidR="00EE73D5">
        <w:rPr>
          <w:color w:val="000000" w:themeColor="text1"/>
          <w:u w:color="000000" w:themeColor="text1"/>
        </w:rPr>
        <w:noBreakHyphen/>
      </w:r>
      <w:r w:rsidRPr="00FE08C5">
        <w:rPr>
          <w:color w:val="000000" w:themeColor="text1"/>
          <w:u w:color="000000" w:themeColor="text1"/>
        </w:rPr>
        <w:t>53</w:t>
      </w:r>
      <w:r w:rsidR="00EE73D5">
        <w:rPr>
          <w:color w:val="000000" w:themeColor="text1"/>
          <w:u w:color="000000" w:themeColor="text1"/>
        </w:rPr>
        <w:noBreakHyphen/>
      </w:r>
      <w:r w:rsidRPr="00FE08C5">
        <w:rPr>
          <w:color w:val="000000" w:themeColor="text1"/>
          <w:u w:color="000000" w:themeColor="text1"/>
        </w:rPr>
        <w:t>360 of the 1976 Code, as last amended by Act 160 of 2020, is further amended by adding an appropriately lettered subsection at the end to read:</w:t>
      </w:r>
    </w:p>
    <w:p w:rsidR="0066794B" w:rsidRPr="00FE08C5" w:rsidRDefault="0066794B" w:rsidP="00667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6FF6" w:rsidRDefault="00933362" w:rsidP="00667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66794B" w:rsidRPr="00FE08C5">
        <w:rPr>
          <w:color w:val="000000" w:themeColor="text1"/>
          <w:u w:color="000000" w:themeColor="text1"/>
        </w:rPr>
        <w:t>“( )</w:t>
      </w:r>
      <w:r>
        <w:rPr>
          <w:color w:val="000000" w:themeColor="text1"/>
          <w:u w:color="000000" w:themeColor="text1"/>
        </w:rPr>
        <w:tab/>
      </w:r>
      <w:r w:rsidR="0066794B" w:rsidRPr="00FE08C5">
        <w:rPr>
          <w:color w:val="000000" w:themeColor="text1"/>
          <w:u w:color="000000" w:themeColor="text1"/>
        </w:rPr>
        <w:t>A regulatory or licensing entity is prohibited from interfering with a bona fide practitioner</w:t>
      </w:r>
      <w:r w:rsidR="00EE73D5">
        <w:rPr>
          <w:color w:val="000000" w:themeColor="text1"/>
          <w:u w:color="000000" w:themeColor="text1"/>
        </w:rPr>
        <w:noBreakHyphen/>
      </w:r>
      <w:r w:rsidR="0066794B" w:rsidRPr="00FE08C5">
        <w:rPr>
          <w:color w:val="000000" w:themeColor="text1"/>
          <w:u w:color="000000" w:themeColor="text1"/>
        </w:rPr>
        <w:t>patient relationship between a practitioner with  prescribing authority under the laws of the State and that practitioner</w:t>
      </w:r>
      <w:r w:rsidR="00EE73D5" w:rsidRPr="00EE73D5">
        <w:rPr>
          <w:color w:val="000000" w:themeColor="text1"/>
          <w:u w:color="000000" w:themeColor="text1"/>
        </w:rPr>
        <w:t>’</w:t>
      </w:r>
      <w:r w:rsidR="0066794B" w:rsidRPr="00FE08C5">
        <w:rPr>
          <w:color w:val="000000" w:themeColor="text1"/>
          <w:u w:color="000000" w:themeColor="text1"/>
        </w:rPr>
        <w:t>s patient to prevent the practitioner from prescribing or dispensing a controlled substance to the patient, absent a directive from the federal Food and Drug Administration that the controlled substance has been determined not to be safe or effective, or the approval of which has otherwise been withdrawn by the federal Food and Drug Administration.”</w:t>
      </w:r>
    </w:p>
    <w:p w:rsidR="00616FF6" w:rsidRDefault="00616F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FF6" w:rsidRDefault="00616F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6794B">
        <w:t>3</w:t>
      </w:r>
      <w:r>
        <w:t>.</w:t>
      </w:r>
      <w:r>
        <w:tab/>
        <w:t>This act takes effect upon approval by the Governor.</w:t>
      </w:r>
    </w:p>
    <w:p w:rsidR="007B36B5" w:rsidRDefault="00EE73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20E0" w:rsidRDefault="004120E0" w:rsidP="004120E0">
      <w:pPr>
        <w:suppressAutoHyphens/>
      </w:pPr>
    </w:p>
    <w:sectPr w:rsidR="004120E0" w:rsidSect="004120E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27A3" w:rsidRDefault="008727A3" w:rsidP="009F0C77">
      <w:r>
        <w:separator/>
      </w:r>
    </w:p>
  </w:endnote>
  <w:endnote w:type="continuationSeparator" w:id="0">
    <w:p w:rsidR="008727A3" w:rsidRDefault="008727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D45DC0B-0A99-4B05-A3EB-0C175C68A6CF}"/>
    <w:embedBold r:id="rId2" w:fontKey="{42E95B42-D989-472D-91BD-C49D5C564BE7}"/>
  </w:font>
  <w:font w:name="Calibri">
    <w:panose1 w:val="020F0502020204030204"/>
    <w:charset w:val="00"/>
    <w:family w:val="swiss"/>
    <w:pitch w:val="variable"/>
    <w:sig w:usb0="E4002EFF" w:usb1="C000247B" w:usb2="00000009" w:usb3="00000000" w:csb0="000001FF" w:csb1="00000000"/>
    <w:embedRegular r:id="rId3" w:fontKey="{251FD0BD-B45F-4280-AE94-231A232F2830}"/>
  </w:font>
  <w:font w:name="Segoe UI">
    <w:panose1 w:val="020B0502040204020203"/>
    <w:charset w:val="00"/>
    <w:family w:val="swiss"/>
    <w:pitch w:val="variable"/>
    <w:sig w:usb0="E4002EFF" w:usb1="C000E47F" w:usb2="00000009" w:usb3="00000000" w:csb0="000001FF" w:csb1="00000000"/>
    <w:embedRegular r:id="rId4" w:fontKey="{AC59B148-2249-478B-A699-E217EFD146AE}"/>
  </w:font>
  <w:font w:name="Cambria">
    <w:panose1 w:val="02040503050406030204"/>
    <w:charset w:val="00"/>
    <w:family w:val="roman"/>
    <w:pitch w:val="variable"/>
    <w:sig w:usb0="E00006FF" w:usb1="420024FF" w:usb2="02000000" w:usb3="00000000" w:csb0="0000019F" w:csb1="00000000"/>
    <w:embedRegular r:id="rId5" w:fontKey="{6F1EBDEA-987E-450F-990E-E03D068F685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6B5" w:rsidRPr="004120E0" w:rsidRDefault="004120E0" w:rsidP="004120E0">
    <w:pPr>
      <w:pStyle w:val="Footer"/>
      <w:tabs>
        <w:tab w:val="clear" w:pos="4680"/>
        <w:tab w:val="clear" w:pos="9360"/>
        <w:tab w:val="center" w:pos="2995"/>
      </w:tabs>
      <w:spacing w:before="120"/>
    </w:pPr>
    <w:r>
      <w:t>[3217]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27A3" w:rsidRDefault="008727A3" w:rsidP="009F0C77">
      <w:r>
        <w:separator/>
      </w:r>
    </w:p>
  </w:footnote>
  <w:footnote w:type="continuationSeparator" w:id="0">
    <w:p w:rsidR="008727A3" w:rsidRDefault="008727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46VR21"/>
    <w:docVar w:name="CoverBillType" w:val="b"/>
    <w:docVar w:name="DocPath" w:val="L:\Council\bills\CC\15846VR21.DOCX"/>
    <w:docVar w:name="dvBillNumber" w:val="3217"/>
    <w:docVar w:name="dvBillNumberPrefix" w:val="H. "/>
    <w:docVar w:name="dvOriginalBody" w:val="House"/>
    <w:docVar w:name="dvSteno" w:val="CC"/>
    <w:docVar w:name="NameofBody" w:val="h"/>
    <w:docVar w:name="vGroup2" w:val="Council"/>
  </w:docVars>
  <w:rsids>
    <w:rsidRoot w:val="00616FF6"/>
    <w:rsid w:val="0000780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20E0"/>
    <w:rsid w:val="0041760A"/>
    <w:rsid w:val="00417C01"/>
    <w:rsid w:val="004403BD"/>
    <w:rsid w:val="00461441"/>
    <w:rsid w:val="004809EE"/>
    <w:rsid w:val="004E7D54"/>
    <w:rsid w:val="005273C6"/>
    <w:rsid w:val="00530A69"/>
    <w:rsid w:val="00545593"/>
    <w:rsid w:val="00556EBF"/>
    <w:rsid w:val="00572705"/>
    <w:rsid w:val="00577C6C"/>
    <w:rsid w:val="005A62FE"/>
    <w:rsid w:val="005C2FE2"/>
    <w:rsid w:val="005E2BC9"/>
    <w:rsid w:val="00605102"/>
    <w:rsid w:val="00616FF6"/>
    <w:rsid w:val="006215AA"/>
    <w:rsid w:val="0066794B"/>
    <w:rsid w:val="006913C9"/>
    <w:rsid w:val="0069470D"/>
    <w:rsid w:val="006B3A60"/>
    <w:rsid w:val="006D58AA"/>
    <w:rsid w:val="00734F00"/>
    <w:rsid w:val="00736959"/>
    <w:rsid w:val="007A70AE"/>
    <w:rsid w:val="007B36B5"/>
    <w:rsid w:val="008362E8"/>
    <w:rsid w:val="0085786E"/>
    <w:rsid w:val="008727A3"/>
    <w:rsid w:val="008838B1"/>
    <w:rsid w:val="008A1768"/>
    <w:rsid w:val="008A489F"/>
    <w:rsid w:val="008F0F33"/>
    <w:rsid w:val="008F4429"/>
    <w:rsid w:val="00933362"/>
    <w:rsid w:val="0094021A"/>
    <w:rsid w:val="009528B6"/>
    <w:rsid w:val="009B44AF"/>
    <w:rsid w:val="009C6A0B"/>
    <w:rsid w:val="009E7205"/>
    <w:rsid w:val="009F0C77"/>
    <w:rsid w:val="009F4DD1"/>
    <w:rsid w:val="00A02543"/>
    <w:rsid w:val="00A41684"/>
    <w:rsid w:val="00A64E80"/>
    <w:rsid w:val="00A72BCD"/>
    <w:rsid w:val="00A741D9"/>
    <w:rsid w:val="00A833AB"/>
    <w:rsid w:val="00A9741D"/>
    <w:rsid w:val="00AC34A2"/>
    <w:rsid w:val="00AD1C9A"/>
    <w:rsid w:val="00AD4B17"/>
    <w:rsid w:val="00AD4C74"/>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5F17"/>
    <w:rsid w:val="00EE73D5"/>
    <w:rsid w:val="00EF2368"/>
    <w:rsid w:val="00F24442"/>
    <w:rsid w:val="00F50AE3"/>
    <w:rsid w:val="00F655B7"/>
    <w:rsid w:val="00F656BA"/>
    <w:rsid w:val="00F67CF1"/>
    <w:rsid w:val="00F728AA"/>
    <w:rsid w:val="00F840F0"/>
    <w:rsid w:val="00FA07D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D2DFD8-0635-4DEA-9895-4586582C0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28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28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C62A2-D3EF-4055-ADB4-4919FBF45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318</Words>
  <Characters>1683</Characters>
  <Application>Microsoft Office Word</Application>
  <DocSecurity>0</DocSecurity>
  <Lines>55</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3217 Text of Previous Version (Dec. 9, 2020) - South Carolina Legislature Online</dc:title>
  <dc:creator>Chris Charlton</dc:creator>
  <cp:lastModifiedBy>Sade Wilson</cp:lastModifiedBy>
  <cp:revision>2</cp:revision>
  <cp:lastPrinted>2020-12-07T17:44:00Z</cp:lastPrinted>
  <dcterms:created xsi:type="dcterms:W3CDTF">2020-12-11T23:03:00Z</dcterms:created>
  <dcterms:modified xsi:type="dcterms:W3CDTF">2020-12-11T23:03:00Z</dcterms:modified>
</cp:coreProperties>
</file>