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E51"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30C7" w:rsidRP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6D566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B30C7" w:rsidRDefault="006D566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DB30C7">
        <w:t>, 2022</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DB30C7" w:rsidRDefault="00DB30C7" w:rsidP="00DB30C7">
      <w:pPr>
        <w:tabs>
          <w:tab w:val="right" w:pos="5933"/>
        </w:tabs>
        <w:suppressAutoHyphens/>
      </w:pPr>
      <w:r>
        <w:tab/>
      </w:r>
      <w:r>
        <w:rPr>
          <w:b/>
          <w:sz w:val="36"/>
        </w:rPr>
        <w:t>H. 3606</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Yow, Sandifer, Erickson and Bradley</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6D5660" w:rsidP="00C55642">
      <w:pPr>
        <w:tabs>
          <w:tab w:val="right" w:pos="5933"/>
        </w:tabs>
        <w:suppressAutoHyphens/>
      </w:pPr>
      <w:r>
        <w:t>S. Printed 4/20</w:t>
      </w:r>
      <w:r w:rsidR="00DB30C7">
        <w:t>/22--S.</w:t>
      </w:r>
      <w:r w:rsidR="00C55642">
        <w:tab/>
        <w:t>[SEC 4/26/22 11:50 AM]</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DB30C7" w:rsidRPr="00DB30C7"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30C7" w:rsidSect="00EA2D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470" w:rsidRDefault="0051047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12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Pr="007444FF"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44FF">
        <w:rPr>
          <w:color w:val="000000" w:themeColor="text1"/>
          <w:u w:color="000000" w:themeColor="text1"/>
        </w:rPr>
        <w:t>TO AMEND THE CODE OF LAWS OF SOUTH CAROLINA, 1976, BY ADDING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265 SO AS TO EXEMPT CERTAIN IMPROVEMENTS MADE TO RESIDENTIAL PROPERTY FROM BUILDING PERMIT REQUIREMENTS, AND TO EXEMPT PROPERTY OWNERS WHO MAKE SUCH IMPROVEMENTS FROM RESIDENTIAL BUILDERS COMMISSION LICENSURE REQUIREMENTS; AND TO AMEND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 xml:space="preserve">20, RELATING TO DEFINITIONS CONCERNING THE RESIDENTIAL BUILDERS COMMISSION AND ITS LICENSEES, SO AS TO REVISE THE DEFINITION OF RESIDENTIAL SPECIALTY CONTRACTORS.  </w:t>
      </w:r>
      <w:bookmarkEnd w:id="1"/>
    </w:p>
    <w:p w:rsidR="00C12E51" w:rsidRDefault="006D56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5660" w:rsidRDefault="006D56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t>SECTION</w:t>
      </w:r>
      <w:r w:rsidRPr="0084686A">
        <w:tab/>
        <w:t>1.</w:t>
      </w:r>
      <w:r w:rsidRPr="0084686A">
        <w:tab/>
      </w:r>
      <w:r w:rsidRPr="0084686A">
        <w:rPr>
          <w:u w:color="000000" w:themeColor="text1"/>
        </w:rPr>
        <w:t>Article 1, Chapter</w:t>
      </w:r>
      <w:r w:rsidR="000E73B1">
        <w:rPr>
          <w:u w:color="000000" w:themeColor="text1"/>
        </w:rPr>
        <w:t xml:space="preserve"> 59, T</w:t>
      </w:r>
      <w:r w:rsidRPr="0084686A">
        <w:rPr>
          <w:u w:color="000000" w:themeColor="text1"/>
        </w:rPr>
        <w:t>itle 40 of the 1976 Code is amended by adding:</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“Section 40</w:t>
      </w:r>
      <w:r w:rsidRPr="0084686A">
        <w:rPr>
          <w:u w:color="000000" w:themeColor="text1"/>
        </w:rPr>
        <w:noBreakHyphen/>
        <w:t>59</w:t>
      </w:r>
      <w:r w:rsidRPr="0084686A">
        <w:rPr>
          <w:u w:color="000000" w:themeColor="text1"/>
        </w:rPr>
        <w:noBreakHyphen/>
        <w:t>265.</w:t>
      </w:r>
      <w:r w:rsidRPr="0084686A">
        <w:rPr>
          <w:u w:color="000000" w:themeColor="text1"/>
        </w:rPr>
        <w:tab/>
        <w:t>(A)</w:t>
      </w:r>
      <w:r w:rsidRPr="0084686A">
        <w:rPr>
          <w:u w:color="000000" w:themeColor="text1"/>
        </w:rPr>
        <w:tab/>
        <w:t>This chapter, including Section 40</w:t>
      </w:r>
      <w:r w:rsidRPr="0084686A">
        <w:rPr>
          <w:u w:color="000000" w:themeColor="text1"/>
        </w:rPr>
        <w:noBreakHyphen/>
        <w:t>59</w:t>
      </w:r>
      <w:r w:rsidRPr="0084686A">
        <w:rPr>
          <w:u w:color="000000" w:themeColor="text1"/>
        </w:rPr>
        <w:noBreakHyphen/>
        <w:t>260, does not apply to an owner of residential property who improves the property when the improvements are for the following: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(1)</w:t>
      </w:r>
      <w:r w:rsidRPr="0084686A">
        <w:rPr>
          <w:u w:color="000000" w:themeColor="text1"/>
        </w:rPr>
        <w:tab/>
        <w:t>building: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one</w:t>
      </w:r>
      <w:r w:rsidRPr="0084686A">
        <w:rPr>
          <w:u w:color="000000" w:themeColor="text1"/>
        </w:rPr>
        <w:noBreakHyphen/>
        <w:t>story detached accessory structures, provided that the floor area does not exceed two hundred square feet;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fences not over seven feet high;</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retaining walls that are not over four feet in height measured from the bottom of the footing to the top of the wall, unless supporting a surcharge;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(d)</w:t>
      </w:r>
      <w:r w:rsidRPr="0084686A">
        <w:rPr>
          <w:u w:color="000000" w:themeColor="text1"/>
        </w:rPr>
        <w:tab/>
        <w:t>water tanks supported directly upon grade if the capacity does not exceed five thousand gallons and the ratio of height to diameter or width does not exceed two to one;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sidewalks and driveways;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r>
      <w:r w:rsidRPr="0084686A">
        <w:rPr>
          <w:u w:color="000000" w:themeColor="text1"/>
        </w:rPr>
        <w:tab/>
        <w:t>painting, papering, tiling, carpeting, cabinets, counter tops and similar finish work;</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(g)</w:t>
      </w:r>
      <w:r w:rsidRPr="0084686A">
        <w:rPr>
          <w:u w:color="000000" w:themeColor="text1"/>
        </w:rPr>
        <w:tab/>
        <w:t>prefabricated swimming pools that are less than twenty</w:t>
      </w:r>
      <w:r w:rsidRPr="0084686A">
        <w:rPr>
          <w:u w:color="000000" w:themeColor="text1"/>
        </w:rPr>
        <w:noBreakHyphen/>
        <w:t>four inches deep;</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swings and other playground equipment;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(i)</w:t>
      </w:r>
      <w:r w:rsidRPr="0084686A">
        <w:rPr>
          <w:u w:color="000000" w:themeColor="text1"/>
        </w:rPr>
        <w:tab/>
      </w:r>
      <w:r w:rsidRPr="0084686A">
        <w:rPr>
          <w:u w:color="000000" w:themeColor="text1"/>
        </w:rPr>
        <w:tab/>
        <w:t>window awnings supported by an exterior wall that do not project more than fifty</w:t>
      </w:r>
      <w:r w:rsidRPr="0084686A">
        <w:rPr>
          <w:u w:color="000000" w:themeColor="text1"/>
        </w:rPr>
        <w:noBreakHyphen/>
        <w:t>four inches from the exterior wall and do not require additional support;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(j)</w:t>
      </w:r>
      <w:r w:rsidRPr="0084686A">
        <w:rPr>
          <w:u w:color="000000" w:themeColor="text1"/>
        </w:rPr>
        <w:tab/>
      </w:r>
      <w:r w:rsidRPr="0084686A">
        <w:rPr>
          <w:u w:color="000000" w:themeColor="text1"/>
        </w:rPr>
        <w:tab/>
        <w:t>decks not exceeding two hundred square feet in area, that are not more than thirty inches above grade at any point;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(2)</w:t>
      </w:r>
      <w:r w:rsidRPr="0084686A">
        <w:rPr>
          <w:u w:color="000000" w:themeColor="text1"/>
        </w:rPr>
        <w:tab/>
        <w:t>electrical: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listed cord</w:t>
      </w:r>
      <w:r w:rsidRPr="0084686A">
        <w:rPr>
          <w:u w:color="000000" w:themeColor="text1"/>
        </w:rPr>
        <w:noBreakHyphen/>
        <w:t>and</w:t>
      </w:r>
      <w:r w:rsidRPr="0084686A">
        <w:rPr>
          <w:u w:color="000000" w:themeColor="text1"/>
        </w:rPr>
        <w:noBreakHyphen/>
        <w:t>plug connected temporary decorative lighting;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reinstallation of attachment plug receptacles but not the outlets;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replacement of branch circuit overcurrent devices of the required capacity in the same location;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electrical wiring, devices, appliances, apparatus or equipment operating at less than twenty</w:t>
      </w:r>
      <w:r w:rsidRPr="0084686A">
        <w:rPr>
          <w:u w:color="000000" w:themeColor="text1"/>
        </w:rPr>
        <w:noBreakHyphen/>
        <w:t>five volts and not capable of supplying more than fifty watts of energy;</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minor repair work, including the replacement of lamps or the connection of approved portable electrical equipment to approved permanently installed receptacles;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(3)</w:t>
      </w:r>
      <w:r w:rsidRPr="0084686A">
        <w:rPr>
          <w:u w:color="000000" w:themeColor="text1"/>
        </w:rPr>
        <w:tab/>
        <w:t>gas: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cooking or clothes drying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(4)</w:t>
      </w:r>
      <w:r w:rsidRPr="0084686A">
        <w:rPr>
          <w:u w:color="000000" w:themeColor="text1"/>
        </w:rPr>
        <w:tab/>
        <w:t>mechanical: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portable ventilation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portables cooling units;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steam, hot</w:t>
      </w:r>
      <w:r w:rsidRPr="0084686A">
        <w:rPr>
          <w:u w:color="000000" w:themeColor="text1"/>
        </w:rPr>
        <w:noBreakHyphen/>
        <w:t xml:space="preserve"> or chilled</w:t>
      </w:r>
      <w:r w:rsidRPr="0084686A">
        <w:rPr>
          <w:u w:color="000000" w:themeColor="text1"/>
        </w:rPr>
        <w:noBreakHyphen/>
        <w:t>water piping within any heating or cooling equipment regulated by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t>portable evaporative coolers;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(g)</w:t>
      </w:r>
      <w:r w:rsidRPr="0084686A">
        <w:rPr>
          <w:u w:color="000000" w:themeColor="text1"/>
        </w:rPr>
        <w:tab/>
        <w:t>self</w:t>
      </w:r>
      <w:r w:rsidRPr="0084686A">
        <w:rPr>
          <w:u w:color="000000" w:themeColor="text1"/>
        </w:rPr>
        <w:noBreakHyphen/>
        <w:t>contained refrigeration systems containing ten pounds or less of refrigerant or that are actuated by motors of one horsepower or less;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(5)</w:t>
      </w:r>
      <w:r w:rsidRPr="0084686A">
        <w:rPr>
          <w:u w:color="000000" w:themeColor="text1"/>
        </w:rPr>
        <w:tab/>
        <w:t>plumbing: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(B)</w:t>
      </w:r>
      <w:r w:rsidRPr="0084686A">
        <w:rPr>
          <w:u w:color="000000" w:themeColor="text1"/>
        </w:rPr>
        <w:tab/>
        <w:t>The improvem</w:t>
      </w:r>
      <w:r w:rsidRPr="00802126">
        <w:rPr>
          <w:u w:color="000000" w:themeColor="text1"/>
        </w:rPr>
        <w:t xml:space="preserve">ents delineated in subsection (A) are exempt </w:t>
      </w:r>
      <w:r w:rsidR="006D5660" w:rsidRPr="00802126">
        <w:rPr>
          <w:u w:color="000000" w:themeColor="text1"/>
        </w:rPr>
        <w:t>from building permit application requirements and an owner of residential property who makes these improvements is not required to have a residential</w:t>
      </w:r>
      <w:r w:rsidR="00802126">
        <w:rPr>
          <w:u w:color="000000" w:themeColor="text1"/>
        </w:rPr>
        <w:t xml:space="preserve"> </w:t>
      </w:r>
      <w:r w:rsidRPr="0084686A">
        <w:rPr>
          <w:u w:color="000000" w:themeColor="text1"/>
        </w:rPr>
        <w:t>builder or residential specialty contractor’s license or be subject to the penalties provided in this chapter.”</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SECTION</w:t>
      </w:r>
      <w:r w:rsidRPr="0084686A">
        <w:rPr>
          <w:u w:color="000000" w:themeColor="text1"/>
        </w:rPr>
        <w:tab/>
        <w:t>2.</w:t>
      </w:r>
      <w:r w:rsidRPr="0084686A">
        <w:rPr>
          <w:u w:color="000000" w:themeColor="text1"/>
        </w:rPr>
        <w:tab/>
        <w:t>Section 40</w:t>
      </w:r>
      <w:r w:rsidRPr="0084686A">
        <w:rPr>
          <w:u w:color="000000" w:themeColor="text1"/>
        </w:rPr>
        <w:noBreakHyphen/>
        <w:t>59</w:t>
      </w:r>
      <w:r w:rsidRPr="0084686A">
        <w:rPr>
          <w:u w:color="000000" w:themeColor="text1"/>
        </w:rPr>
        <w:noBreakHyphen/>
        <w:t>20(7) of the 1976 Code is amended to read: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rPr>
          <w:u w:color="000000" w:themeColor="text1"/>
        </w:rPr>
        <w:tab/>
        <w:t>“(7)</w:t>
      </w:r>
      <w:r w:rsidRPr="0084686A">
        <w:rPr>
          <w:u w:color="000000" w:themeColor="text1"/>
        </w:rPr>
        <w:tab/>
        <w:t>‘</w:t>
      </w:r>
      <w:r w:rsidRPr="0084686A">
        <w:t xml:space="preserve">Residential specialty contractor’ means an independent contractor </w:t>
      </w:r>
      <w:r w:rsidRPr="0084686A">
        <w:rPr>
          <w:strike/>
        </w:rPr>
        <w:t>who is not a licensed residential builder,</w:t>
      </w:r>
      <w:r w:rsidRPr="0084686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w:t>
      </w:r>
      <w:r w:rsidRPr="0084686A">
        <w:rPr>
          <w:strike/>
        </w:rPr>
        <w:t>two</w:t>
      </w:r>
      <w:r w:rsidRPr="0084686A">
        <w:t xml:space="preserve"> </w:t>
      </w:r>
      <w:r w:rsidRPr="0084686A">
        <w:rPr>
          <w:u w:val="single"/>
        </w:rPr>
        <w:t>five</w:t>
      </w:r>
      <w:r w:rsidRPr="0084686A">
        <w:t xml:space="preserve"> hundred dollars and are not regulated by the provisions of Chapter 11. </w:t>
      </w:r>
      <w:r w:rsidRPr="0084686A">
        <w:rPr>
          <w:u w:val="single"/>
        </w:rPr>
        <w:t>A</w:t>
      </w:r>
      <w:r w:rsidRPr="0084686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84686A">
        <w:rPr>
          <w:u w:color="000000" w:themeColor="text1"/>
        </w:rPr>
        <w:t xml:space="preserve"> </w:t>
      </w:r>
      <w:r w:rsidRPr="0084686A">
        <w:t>Residential specialty contracting includes the following areas of contracting and other areas as the commission may recognize by regulation: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(a)</w:t>
      </w:r>
      <w:r w:rsidRPr="0084686A">
        <w:tab/>
        <w:t>plumbers;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(b)</w:t>
      </w:r>
      <w:r w:rsidRPr="0084686A">
        <w:tab/>
        <w:t>electricians;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(c)</w:t>
      </w:r>
      <w:r w:rsidRPr="0084686A">
        <w:tab/>
        <w:t>heating and air conditioning installers and repairers;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(d)</w:t>
      </w:r>
      <w:r w:rsidRPr="0084686A">
        <w:tab/>
        <w:t>vinyl and aluminum siding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lastRenderedPageBreak/>
        <w:tab/>
      </w:r>
      <w:r w:rsidRPr="0084686A">
        <w:tab/>
        <w:t>(e)</w:t>
      </w:r>
      <w:r w:rsidRPr="0084686A">
        <w:tab/>
        <w:t>insulation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(f)</w:t>
      </w:r>
      <w:r w:rsidRPr="0084686A">
        <w:tab/>
        <w:t>roofers;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(g)</w:t>
      </w:r>
      <w:r w:rsidRPr="0084686A">
        <w:tab/>
        <w:t>floor covering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(h)</w:t>
      </w:r>
      <w:r w:rsidRPr="0084686A">
        <w:tab/>
        <w:t>masons;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(i)</w:t>
      </w:r>
      <w:r w:rsidRPr="0084686A">
        <w:tab/>
      </w:r>
      <w:r w:rsidRPr="0084686A">
        <w:tab/>
        <w:t>dry wall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(j)</w:t>
      </w:r>
      <w:r w:rsidRPr="0084686A">
        <w:tab/>
      </w:r>
      <w:r w:rsidRPr="0084686A">
        <w:tab/>
        <w:t>carpenters;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(k)</w:t>
      </w:r>
      <w:r w:rsidRPr="0084686A">
        <w:tab/>
        <w:t>stucco installers;</w:t>
      </w:r>
    </w:p>
    <w:p w:rsidR="006D5660" w:rsidRPr="00802126" w:rsidRDefault="00C12E51" w:rsidP="006D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4686A">
        <w:tab/>
      </w:r>
      <w:r w:rsidRPr="0084686A">
        <w:tab/>
      </w:r>
      <w:r w:rsidR="006D5660" w:rsidRPr="00802126">
        <w:rPr>
          <w:snapToGrid w:val="0"/>
        </w:rPr>
        <w:t>(l)</w:t>
      </w:r>
      <w:r w:rsidR="006D5660" w:rsidRPr="00802126">
        <w:rPr>
          <w:snapToGrid w:val="0"/>
        </w:rPr>
        <w:tab/>
      </w:r>
      <w:r w:rsidR="00604DDA">
        <w:rPr>
          <w:snapToGrid w:val="0"/>
        </w:rPr>
        <w:tab/>
      </w:r>
      <w:r w:rsidR="006D5660" w:rsidRPr="00802126">
        <w:t>painters</w:t>
      </w:r>
      <w:r w:rsidR="006D5660" w:rsidRPr="00802126">
        <w:rPr>
          <w:strike/>
        </w:rPr>
        <w:t>/</w:t>
      </w:r>
      <w:r w:rsidR="006D5660" w:rsidRPr="00802126">
        <w:t xml:space="preserve"> </w:t>
      </w:r>
      <w:r w:rsidR="006D5660" w:rsidRPr="00802126">
        <w:rPr>
          <w:u w:val="single"/>
        </w:rPr>
        <w:t>and</w:t>
      </w:r>
      <w:r w:rsidR="006D5660" w:rsidRPr="00802126">
        <w:t xml:space="preserve"> wall paperers;</w:t>
      </w:r>
    </w:p>
    <w:p w:rsidR="006D5660" w:rsidRPr="00604DDA" w:rsidRDefault="006D5660" w:rsidP="006D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02126">
        <w:rPr>
          <w:snapToGrid w:val="0"/>
        </w:rPr>
        <w:tab/>
      </w:r>
      <w:r w:rsidRPr="00802126">
        <w:rPr>
          <w:snapToGrid w:val="0"/>
        </w:rPr>
        <w:tab/>
      </w:r>
      <w:r w:rsidRPr="00604DDA">
        <w:rPr>
          <w:snapToGrid w:val="0"/>
          <w:u w:val="single"/>
        </w:rPr>
        <w:t>(m)</w:t>
      </w:r>
      <w:r w:rsidRPr="00604DDA">
        <w:rPr>
          <w:snapToGrid w:val="0"/>
          <w:u w:val="single"/>
        </w:rPr>
        <w:tab/>
        <w:t>solar panel installers.</w:t>
      </w:r>
    </w:p>
    <w:p w:rsidR="00C12E51" w:rsidRPr="00604DDA" w:rsidRDefault="006D5660" w:rsidP="006D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5642">
        <w:rPr>
          <w:snapToGrid w:val="0"/>
        </w:rPr>
        <w:tab/>
      </w:r>
      <w:r w:rsidRPr="00604DDA">
        <w:rPr>
          <w:snapToGrid w:val="0"/>
          <w:u w:val="single"/>
        </w:rPr>
        <w:t>Plumbers, electricians, and heating and air conditioning installers and repairers must be issued specialty contractor licenses after passing the required examination, if the other requirements of this article are met. Vinyl and aluminum siding installers, masons, dry wall installers, carpenters, stucco installers, painters and wall paperers, and solar panel installers must be issued specialty contractor registrations, if the other requirements of this article are met.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86A">
        <w:rPr>
          <w:u w:color="000000" w:themeColor="text1"/>
        </w:rPr>
        <w:tab/>
      </w:r>
      <w:r w:rsidRPr="0084686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84686A">
        <w:rPr>
          <w:u w:color="000000" w:themeColor="text1"/>
        </w:rPr>
        <w:t>”</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E1799"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86A">
        <w:rPr>
          <w:u w:color="000000" w:themeColor="text1"/>
        </w:rPr>
        <w:t>SECTION</w:t>
      </w:r>
      <w:r w:rsidRPr="0084686A">
        <w:rPr>
          <w:u w:color="000000" w:themeColor="text1"/>
        </w:rPr>
        <w:tab/>
        <w:t>3.</w:t>
      </w:r>
      <w:r w:rsidRPr="0084686A">
        <w:rPr>
          <w:u w:color="000000" w:themeColor="text1"/>
        </w:rPr>
        <w:tab/>
        <w:t>This act takes effect upon approval by the Governor.</w:t>
      </w:r>
    </w:p>
    <w:p w:rsidR="00C835AE" w:rsidRDefault="00590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AAF" w:rsidRDefault="00977AAF" w:rsidP="00977AAF">
      <w:pPr>
        <w:suppressAutoHyphens/>
      </w:pPr>
    </w:p>
    <w:sectPr w:rsidR="00977AAF" w:rsidSect="00EA2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20A" w:rsidRDefault="00F9120A" w:rsidP="009F0C77">
      <w:r>
        <w:separator/>
      </w:r>
    </w:p>
  </w:endnote>
  <w:endnote w:type="continuationSeparator" w:id="0">
    <w:p w:rsidR="00F9120A" w:rsidRDefault="00F91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769793-DECF-4A34-9434-3D60336C139C}"/>
    <w:embedBold r:id="rId2" w:fontKey="{F2428E3A-4369-490C-A44C-79F1BA0522D9}"/>
  </w:font>
  <w:font w:name="Calibri">
    <w:panose1 w:val="020F0502020204030204"/>
    <w:charset w:val="00"/>
    <w:family w:val="swiss"/>
    <w:pitch w:val="variable"/>
    <w:sig w:usb0="E4002EFF" w:usb1="C000247B" w:usb2="00000009" w:usb3="00000000" w:csb0="000001FF" w:csb1="00000000"/>
    <w:embedRegular r:id="rId3" w:fontKey="{9DCDFBE6-217F-492E-AF5D-9B4B0EE476DB}"/>
  </w:font>
  <w:font w:name="Segoe UI">
    <w:panose1 w:val="020B0502040204020203"/>
    <w:charset w:val="00"/>
    <w:family w:val="swiss"/>
    <w:pitch w:val="variable"/>
    <w:sig w:usb0="E4002EFF" w:usb1="C000E47F" w:usb2="00000009" w:usb3="00000000" w:csb0="000001FF" w:csb1="00000000"/>
    <w:embedRegular r:id="rId4" w:fontKey="{DECCE500-E8D0-43F5-BABF-22C51724B144}"/>
  </w:font>
  <w:font w:name="Cambria">
    <w:panose1 w:val="02040503050406030204"/>
    <w:charset w:val="00"/>
    <w:family w:val="roman"/>
    <w:pitch w:val="variable"/>
    <w:sig w:usb0="E00006FF" w:usb1="420024FF" w:usb2="02000000" w:usb3="00000000" w:csb0="0000019F" w:csb1="00000000"/>
    <w:embedRegular r:id="rId5" w:fontKey="{D725423D-FB7A-49BF-B1C8-681D4A84B8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5AE" w:rsidRPr="00510470" w:rsidRDefault="00510470" w:rsidP="00510470">
    <w:pPr>
      <w:pStyle w:val="Footer"/>
      <w:tabs>
        <w:tab w:val="clear" w:pos="4680"/>
        <w:tab w:val="clear" w:pos="9360"/>
        <w:tab w:val="center" w:pos="2995"/>
      </w:tabs>
      <w:spacing w:before="120"/>
    </w:pPr>
    <w:r>
      <w:t>[3606</w:t>
    </w:r>
    <w:r w:rsidR="00EA2DBC">
      <w:t>-</w:t>
    </w:r>
    <w:r w:rsidR="00EA2DBC">
      <w:fldChar w:fldCharType="begin"/>
    </w:r>
    <w:r w:rsidR="00EA2DBC">
      <w:instrText xml:space="preserve"> PAGE  \* MERGEFORMAT </w:instrText>
    </w:r>
    <w:r w:rsidR="00EA2DBC">
      <w:fldChar w:fldCharType="separate"/>
    </w:r>
    <w:r w:rsidR="00977AAF">
      <w:rPr>
        <w:noProof/>
      </w:rPr>
      <w:t>1</w:t>
    </w:r>
    <w:r w:rsidR="00EA2DBC">
      <w:fldChar w:fldCharType="end"/>
    </w:r>
    <w:r w:rsidR="00EA2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DBC" w:rsidRPr="00510470" w:rsidRDefault="00EA2DBC" w:rsidP="00510470">
    <w:pPr>
      <w:pStyle w:val="Footer"/>
      <w:tabs>
        <w:tab w:val="clear" w:pos="4680"/>
        <w:tab w:val="clear" w:pos="9360"/>
        <w:tab w:val="center" w:pos="2995"/>
      </w:tabs>
      <w:spacing w:before="120"/>
    </w:pPr>
    <w:r>
      <w:t>[3606]</w:t>
    </w:r>
    <w:r>
      <w:tab/>
    </w:r>
    <w:r>
      <w:fldChar w:fldCharType="begin"/>
    </w:r>
    <w:r>
      <w:instrText xml:space="preserve"> PAGE  \* MERGEFORMAT </w:instrText>
    </w:r>
    <w:r>
      <w:fldChar w:fldCharType="separate"/>
    </w:r>
    <w:r w:rsidR="00977A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20A" w:rsidRDefault="00F9120A" w:rsidP="009F0C77">
      <w:r>
        <w:separator/>
      </w:r>
    </w:p>
  </w:footnote>
  <w:footnote w:type="continuationSeparator" w:id="0">
    <w:p w:rsidR="00F9120A" w:rsidRDefault="00F91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2WAB21"/>
    <w:docVar w:name="CoverBillType" w:val="b"/>
    <w:docVar w:name="DocPath" w:val="L:\Council\bills\RT\17932WAB21.DOCX"/>
    <w:docVar w:name="dvBillNumber" w:val="3606"/>
    <w:docVar w:name="dvBillNumberPrefix" w:val="H. "/>
    <w:docVar w:name="dvOriginalBody" w:val="House"/>
    <w:docVar w:name="dvSteno" w:val="RT"/>
    <w:docVar w:name="NameofBody" w:val="h"/>
    <w:docVar w:name="vGroup2" w:val="Council"/>
  </w:docVars>
  <w:rsids>
    <w:rsidRoot w:val="00F9120A"/>
    <w:rsid w:val="00011869"/>
    <w:rsid w:val="00015CD6"/>
    <w:rsid w:val="000E0100"/>
    <w:rsid w:val="000E1785"/>
    <w:rsid w:val="000E73B1"/>
    <w:rsid w:val="000F40FA"/>
    <w:rsid w:val="001035F1"/>
    <w:rsid w:val="0010513F"/>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72B"/>
    <w:rsid w:val="004E7D54"/>
    <w:rsid w:val="00510470"/>
    <w:rsid w:val="005273C6"/>
    <w:rsid w:val="00530A69"/>
    <w:rsid w:val="00545593"/>
    <w:rsid w:val="00556EBF"/>
    <w:rsid w:val="00577C6C"/>
    <w:rsid w:val="0059012F"/>
    <w:rsid w:val="005910E2"/>
    <w:rsid w:val="00592E92"/>
    <w:rsid w:val="005A62FE"/>
    <w:rsid w:val="005C2FE2"/>
    <w:rsid w:val="005E2BC9"/>
    <w:rsid w:val="00604DDA"/>
    <w:rsid w:val="00605102"/>
    <w:rsid w:val="006215AA"/>
    <w:rsid w:val="006913C9"/>
    <w:rsid w:val="0069470D"/>
    <w:rsid w:val="006D5660"/>
    <w:rsid w:val="006D58AA"/>
    <w:rsid w:val="00734F00"/>
    <w:rsid w:val="00736959"/>
    <w:rsid w:val="007A70AE"/>
    <w:rsid w:val="00802126"/>
    <w:rsid w:val="0080284B"/>
    <w:rsid w:val="008362E8"/>
    <w:rsid w:val="0085786E"/>
    <w:rsid w:val="008A1768"/>
    <w:rsid w:val="008A489F"/>
    <w:rsid w:val="008F0F33"/>
    <w:rsid w:val="008F4429"/>
    <w:rsid w:val="0094021A"/>
    <w:rsid w:val="00977AA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799"/>
    <w:rsid w:val="00B132D3"/>
    <w:rsid w:val="00B412D4"/>
    <w:rsid w:val="00B64FFF"/>
    <w:rsid w:val="00BE3C22"/>
    <w:rsid w:val="00C0345E"/>
    <w:rsid w:val="00C12E51"/>
    <w:rsid w:val="00C208E7"/>
    <w:rsid w:val="00C21ABE"/>
    <w:rsid w:val="00C31C95"/>
    <w:rsid w:val="00C3483A"/>
    <w:rsid w:val="00C55642"/>
    <w:rsid w:val="00C74E9D"/>
    <w:rsid w:val="00C826DD"/>
    <w:rsid w:val="00C82FD3"/>
    <w:rsid w:val="00C835AE"/>
    <w:rsid w:val="00C92819"/>
    <w:rsid w:val="00CC6B7B"/>
    <w:rsid w:val="00CD2089"/>
    <w:rsid w:val="00D73A67"/>
    <w:rsid w:val="00D970A9"/>
    <w:rsid w:val="00DB30C7"/>
    <w:rsid w:val="00DF3845"/>
    <w:rsid w:val="00E41911"/>
    <w:rsid w:val="00E44B57"/>
    <w:rsid w:val="00E92EEF"/>
    <w:rsid w:val="00EA2DBC"/>
    <w:rsid w:val="00EF2368"/>
    <w:rsid w:val="00F24442"/>
    <w:rsid w:val="00F50AE3"/>
    <w:rsid w:val="00F655B7"/>
    <w:rsid w:val="00F656BA"/>
    <w:rsid w:val="00F67CF1"/>
    <w:rsid w:val="00F728AA"/>
    <w:rsid w:val="00F840F0"/>
    <w:rsid w:val="00F912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7C3A2-52DD-4E9C-AF3B-12DFF98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344AF-EF4E-4A2C-AADF-3D1650FAE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1077</Words>
  <Characters>6117</Characters>
  <Application>Microsoft Office Word</Application>
  <DocSecurity>0</DocSecurity>
  <Lines>177</Lines>
  <Paragraphs>68</Paragraphs>
  <ScaleCrop>false</ScaleCrop>
  <HeadingPairs>
    <vt:vector size="2" baseType="variant">
      <vt:variant>
        <vt:lpstr>Title</vt:lpstr>
      </vt:variant>
      <vt:variant>
        <vt:i4>1</vt:i4>
      </vt:variant>
    </vt:vector>
  </HeadingPairs>
  <TitlesOfParts>
    <vt:vector size="1" baseType="lpstr">
      <vt:lpstr>2021-2022 Bill 3606: Subject not yet available - South Carolina Legislature Online</vt:lpstr>
    </vt:vector>
  </TitlesOfParts>
  <Company>LPITS</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3606 Text of Previous Version (Apr. 26, 2022) - South Carolina Legislature Online</dc:title>
  <dc:creator>Rebecca Turner</dc:creator>
  <cp:lastModifiedBy>Danny Crook</cp:lastModifiedBy>
  <cp:revision>2</cp:revision>
  <cp:lastPrinted>2021-01-08T19:51:00Z</cp:lastPrinted>
  <dcterms:created xsi:type="dcterms:W3CDTF">2022-04-26T15:51:00Z</dcterms:created>
  <dcterms:modified xsi:type="dcterms:W3CDTF">2022-04-26T15:51:00Z</dcterms:modified>
</cp:coreProperties>
</file>