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6E80" w:rsidRDefault="00536E80"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07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81D40">
        <w:rPr>
          <w:color w:val="000000" w:themeColor="text1"/>
          <w:u w:color="000000" w:themeColor="text1"/>
        </w:rPr>
        <w:t>TO AMEND SECTION 6</w:t>
      </w:r>
      <w:r w:rsidR="0066308E">
        <w:rPr>
          <w:color w:val="000000" w:themeColor="text1"/>
          <w:u w:color="000000" w:themeColor="text1"/>
        </w:rPr>
        <w:noBreakHyphen/>
      </w:r>
      <w:r w:rsidRPr="00C81D40">
        <w:rPr>
          <w:color w:val="000000" w:themeColor="text1"/>
          <w:u w:color="000000" w:themeColor="text1"/>
        </w:rPr>
        <w:t>29</w:t>
      </w:r>
      <w:r w:rsidR="0066308E">
        <w:rPr>
          <w:color w:val="000000" w:themeColor="text1"/>
          <w:u w:color="000000" w:themeColor="text1"/>
        </w:rPr>
        <w:noBreakHyphen/>
      </w:r>
      <w:r w:rsidRPr="00C81D40">
        <w:rPr>
          <w:color w:val="000000" w:themeColor="text1"/>
          <w:u w:color="000000" w:themeColor="text1"/>
        </w:rPr>
        <w:t>760, CODE OF LAWS OF SOUTH CAROLINA, 1976, RELATING TO THE PROCEDURE FOR THE ENACTMENT OF ZONING REGULATIONS OR MAPS, SO AS TO, AMONG OTHER THINGS,</w:t>
      </w:r>
      <w:r w:rsidR="00363E1F">
        <w:rPr>
          <w:color w:val="000000" w:themeColor="text1"/>
          <w:u w:color="000000" w:themeColor="text1"/>
        </w:rPr>
        <w:t xml:space="preserve"> ENHANCE THE NOTICE PROVISIONS FOR LANDOWNERS WHOSE LAND IS THE SUBJECT OF A </w:t>
      </w:r>
      <w:r w:rsidR="009B4AA1">
        <w:rPr>
          <w:color w:val="000000" w:themeColor="text1"/>
          <w:u w:color="000000" w:themeColor="text1"/>
        </w:rPr>
        <w:t>PROPOSED AMENDMENT AND CONTIGUOUS</w:t>
      </w:r>
      <w:r w:rsidR="00363E1F">
        <w:rPr>
          <w:color w:val="000000" w:themeColor="text1"/>
          <w:u w:color="000000" w:themeColor="text1"/>
        </w:rPr>
        <w:t xml:space="preserve"> PROPERTY OWNERS, TO</w:t>
      </w:r>
      <w:r w:rsidR="009B4AA1">
        <w:rPr>
          <w:color w:val="000000" w:themeColor="text1"/>
          <w:u w:color="000000" w:themeColor="text1"/>
        </w:rPr>
        <w:t xml:space="preserve"> ALLOW AN OWNER OF CONTIGUOUS</w:t>
      </w:r>
      <w:r w:rsidRPr="00C81D40">
        <w:rPr>
          <w:color w:val="000000" w:themeColor="text1"/>
          <w:u w:color="000000" w:themeColor="text1"/>
        </w:rPr>
        <w:t xml:space="preserve"> LAND</w:t>
      </w:r>
      <w:r w:rsidR="004311D3">
        <w:rPr>
          <w:color w:val="000000" w:themeColor="text1"/>
          <w:u w:color="000000" w:themeColor="text1"/>
        </w:rPr>
        <w:t xml:space="preserve"> OR</w:t>
      </w:r>
      <w:r w:rsidR="009B4AA1">
        <w:rPr>
          <w:color w:val="000000" w:themeColor="text1"/>
          <w:u w:color="000000" w:themeColor="text1"/>
        </w:rPr>
        <w:t xml:space="preserve"> HIS REPRESENTATIVE</w:t>
      </w:r>
      <w:r w:rsidRPr="00C81D40">
        <w:rPr>
          <w:color w:val="000000" w:themeColor="text1"/>
          <w:u w:color="000000" w:themeColor="text1"/>
        </w:rPr>
        <w:t xml:space="preserve"> TO APPLY TO A COURT OF COMPETENT JURISDICTION FOR INJUNCTIVE AND SUCH OTHER RELIEF AS THE COURT MAY CONSIDER PROPER, INCLUDING RENDERING THE ORDINANCE OR AMENDMENT INVALID, IF THE GOVERNING AUTHORITY OR THE PLANNING COMMISSION FAILED TO PROVIDE THE REQUIRED NOTICE, AND TO PERMIT A COURT OF COMPETENT JURISDICTIO</w:t>
      </w:r>
      <w:r w:rsidR="00DC17FA">
        <w:rPr>
          <w:color w:val="000000" w:themeColor="text1"/>
          <w:u w:color="000000" w:themeColor="text1"/>
        </w:rPr>
        <w:t xml:space="preserve">N TO IMPOSE A CIVIL FINE ON </w:t>
      </w:r>
      <w:r w:rsidRPr="00C81D40">
        <w:rPr>
          <w:color w:val="000000" w:themeColor="text1"/>
          <w:u w:color="000000" w:themeColor="text1"/>
        </w:rPr>
        <w:t>THE GOVERNING AUTHORITY OR THE PLANNING COMMISSION THAT FAILED TO PROVIDE THE REQUIRED NOTICE.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66535" w:rsidRPr="00C81D40">
        <w:rPr>
          <w:color w:val="000000" w:themeColor="text1"/>
          <w:u w:color="000000" w:themeColor="text1"/>
        </w:rPr>
        <w:t>Section 6</w:t>
      </w:r>
      <w:r w:rsidR="0066308E">
        <w:rPr>
          <w:color w:val="000000" w:themeColor="text1"/>
          <w:u w:color="000000" w:themeColor="text1"/>
        </w:rPr>
        <w:noBreakHyphen/>
      </w:r>
      <w:r w:rsidR="00D66535" w:rsidRPr="00C81D40">
        <w:rPr>
          <w:color w:val="000000" w:themeColor="text1"/>
          <w:u w:color="000000" w:themeColor="text1"/>
        </w:rPr>
        <w:t>29</w:t>
      </w:r>
      <w:r w:rsidR="0066308E">
        <w:rPr>
          <w:color w:val="000000" w:themeColor="text1"/>
          <w:u w:color="000000" w:themeColor="text1"/>
        </w:rPr>
        <w:noBreakHyphen/>
      </w:r>
      <w:r w:rsidR="00924E6E">
        <w:rPr>
          <w:color w:val="000000" w:themeColor="text1"/>
          <w:u w:color="000000" w:themeColor="text1"/>
        </w:rPr>
        <w:t>760</w:t>
      </w:r>
      <w:r w:rsidR="00D66535" w:rsidRPr="00C81D40">
        <w:rPr>
          <w:color w:val="000000" w:themeColor="text1"/>
          <w:u w:color="000000" w:themeColor="text1"/>
        </w:rPr>
        <w:t xml:space="preserve"> of the 1976 Code is amended to read:</w:t>
      </w:r>
    </w:p>
    <w:p w:rsidR="004A5068" w:rsidRDefault="004A5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3EC6" w:rsidRDefault="004A5068"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color w:val="000000" w:themeColor="text1"/>
          <w:u w:color="000000" w:themeColor="text1"/>
        </w:rPr>
        <w:tab/>
        <w:t>“</w:t>
      </w:r>
      <w:r w:rsidR="00924E6E">
        <w:rPr>
          <w:color w:val="000000" w:themeColor="text1"/>
          <w:u w:color="000000" w:themeColor="text1"/>
        </w:rPr>
        <w:t>Section 6</w:t>
      </w:r>
      <w:r w:rsidR="0066308E">
        <w:rPr>
          <w:color w:val="000000" w:themeColor="text1"/>
          <w:u w:color="000000" w:themeColor="text1"/>
        </w:rPr>
        <w:noBreakHyphen/>
      </w:r>
      <w:r w:rsidR="00924E6E">
        <w:rPr>
          <w:color w:val="000000" w:themeColor="text1"/>
          <w:u w:color="000000" w:themeColor="text1"/>
        </w:rPr>
        <w:t>29</w:t>
      </w:r>
      <w:r w:rsidR="0066308E">
        <w:rPr>
          <w:color w:val="000000" w:themeColor="text1"/>
          <w:u w:color="000000" w:themeColor="text1"/>
        </w:rPr>
        <w:noBreakHyphen/>
      </w:r>
      <w:r w:rsidR="00924E6E">
        <w:rPr>
          <w:color w:val="000000" w:themeColor="text1"/>
          <w:u w:color="000000" w:themeColor="text1"/>
        </w:rPr>
        <w:t>760.</w:t>
      </w:r>
      <w:r w:rsidR="00924E6E">
        <w:rPr>
          <w:color w:val="000000" w:themeColor="text1"/>
          <w:u w:color="000000" w:themeColor="text1"/>
        </w:rPr>
        <w:tab/>
      </w:r>
      <w:r w:rsidR="00924E6E">
        <w:rPr>
          <w:lang w:val="en-PH"/>
        </w:rPr>
        <w:t>(A)</w:t>
      </w:r>
      <w:r w:rsidR="00BE00D7">
        <w:rPr>
          <w:u w:val="single"/>
          <w:lang w:val="en-PH"/>
        </w:rPr>
        <w:t>(1)</w:t>
      </w:r>
      <w:r w:rsidR="00924E6E">
        <w:rPr>
          <w:lang w:val="en-PH"/>
        </w:rPr>
        <w:tab/>
      </w:r>
      <w:r w:rsidR="00924E6E" w:rsidRPr="009A6864">
        <w:rPr>
          <w:lang w:val="en-PH"/>
        </w:rPr>
        <w:t>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w:t>
      </w:r>
      <w:r w:rsidR="0066308E">
        <w:rPr>
          <w:lang w:val="en-PH"/>
        </w:rPr>
        <w:t>’</w:t>
      </w:r>
      <w:r w:rsidR="00924E6E" w:rsidRPr="009A6864">
        <w:rPr>
          <w:lang w:val="en-PH"/>
        </w:rPr>
        <w:t xml:space="preserve"> notice of the time and </w:t>
      </w:r>
      <w:r w:rsidR="00924E6E" w:rsidRPr="009A6864">
        <w:rPr>
          <w:lang w:val="en-PH"/>
        </w:rPr>
        <w:lastRenderedPageBreak/>
        <w:t>place of the public hearing must be given in a newspaper of general circulation in the municipality or county. In cases involving rezoning</w:t>
      </w:r>
      <w:r w:rsidR="00924E6E" w:rsidRPr="001B3EC6">
        <w:rPr>
          <w:strike/>
          <w:lang w:val="en-PH"/>
        </w:rPr>
        <w:t>,</w:t>
      </w:r>
      <w:r w:rsidR="001B3EC6">
        <w:rPr>
          <w:u w:val="single"/>
          <w:lang w:val="en-PH"/>
        </w:rPr>
        <w:t>;</w:t>
      </w:r>
    </w:p>
    <w:p w:rsidR="001B3EC6" w:rsidRDefault="001B3EC6"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Pr>
          <w:u w:val="single"/>
          <w:lang w:val="en-PH"/>
        </w:rPr>
        <w:t>(</w:t>
      </w:r>
      <w:r w:rsidR="00BE00D7">
        <w:rPr>
          <w:u w:val="single"/>
          <w:lang w:val="en-PH"/>
        </w:rPr>
        <w:t>a</w:t>
      </w:r>
      <w:r>
        <w:rPr>
          <w:u w:val="single"/>
          <w:lang w:val="en-PH"/>
        </w:rPr>
        <w:t>)</w:t>
      </w:r>
      <w:r>
        <w:rPr>
          <w:lang w:val="en-PH"/>
        </w:rPr>
        <w:tab/>
      </w:r>
      <w:r>
        <w:rPr>
          <w:u w:val="single"/>
          <w:lang w:val="en-PH"/>
        </w:rPr>
        <w:t>landowners whose land is the subject of a proposed a</w:t>
      </w:r>
      <w:r w:rsidR="009B4AA1">
        <w:rPr>
          <w:u w:val="single"/>
          <w:lang w:val="en-PH"/>
        </w:rPr>
        <w:t>mendment and owners of contiguous</w:t>
      </w:r>
      <w:r>
        <w:rPr>
          <w:u w:val="single"/>
          <w:lang w:val="en-PH"/>
        </w:rPr>
        <w:t xml:space="preserve"> property must receive at least fifteen days</w:t>
      </w:r>
      <w:r w:rsidR="0066308E">
        <w:rPr>
          <w:u w:val="single"/>
          <w:lang w:val="en-PH"/>
        </w:rPr>
        <w:t>’</w:t>
      </w:r>
      <w:r>
        <w:rPr>
          <w:u w:val="single"/>
          <w:lang w:val="en-PH"/>
        </w:rPr>
        <w:t xml:space="preserve"> written notice of the time and place of the hearing by certifie</w:t>
      </w:r>
      <w:r w:rsidR="00585E44">
        <w:rPr>
          <w:u w:val="single"/>
          <w:lang w:val="en-PH"/>
        </w:rPr>
        <w:t>d</w:t>
      </w:r>
      <w:r>
        <w:rPr>
          <w:u w:val="single"/>
          <w:lang w:val="en-PH"/>
        </w:rPr>
        <w:t xml:space="preserve"> mail, return receipt requested; and</w:t>
      </w:r>
    </w:p>
    <w:p w:rsidR="00BE00D7" w:rsidRDefault="00200103"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00103">
        <w:rPr>
          <w:lang w:val="en-PH"/>
        </w:rPr>
        <w:tab/>
      </w:r>
      <w:r w:rsidRPr="00200103">
        <w:rPr>
          <w:lang w:val="en-PH"/>
        </w:rPr>
        <w:tab/>
      </w:r>
      <w:r w:rsidR="001B3EC6">
        <w:rPr>
          <w:u w:val="single"/>
          <w:lang w:val="en-PH"/>
        </w:rPr>
        <w:t>(</w:t>
      </w:r>
      <w:r w:rsidR="00BE00D7">
        <w:rPr>
          <w:u w:val="single"/>
          <w:lang w:val="en-PH"/>
        </w:rPr>
        <w:t>b</w:t>
      </w:r>
      <w:r w:rsidR="001B3EC6">
        <w:rPr>
          <w:u w:val="single"/>
          <w:lang w:val="en-PH"/>
        </w:rPr>
        <w:t>)</w:t>
      </w:r>
      <w:r w:rsidR="001B3EC6">
        <w:rPr>
          <w:lang w:val="en-PH"/>
        </w:rPr>
        <w:tab/>
      </w:r>
      <w:r w:rsidR="00924E6E" w:rsidRPr="009A6864">
        <w:rPr>
          <w:lang w:val="en-PH"/>
        </w:rPr>
        <w:t>conspicuous notice shall be posted on or adjacent to the property affected, with at least one such notice being visible from each public thoroughfare that abuts the property.</w:t>
      </w:r>
    </w:p>
    <w:p w:rsidR="00924E6E" w:rsidRDefault="00BE00D7"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(2)</w:t>
      </w:r>
      <w:r>
        <w:rPr>
          <w:lang w:val="en-PH"/>
        </w:rPr>
        <w:tab/>
      </w:r>
      <w:r w:rsidR="00924E6E" w:rsidRPr="009A6864">
        <w:rPr>
          <w:lang w:val="en-PH"/>
        </w:rPr>
        <w:t>If the local government maintains a list of groups that have expressed an interest in being informed of zoning proceedings, notice of such meetings must be mailed to these groups. No change in or departure from the text or maps as recommended by the local planning commission may be made pursuant to the hearing unless the change or departure be first submitted to the planning commission for review and recommendation. The planning commission shall have a time prescribed in the ordinance which may not be more than thirty 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 zoning ordinance text or maps.</w:t>
      </w:r>
    </w:p>
    <w:p w:rsidR="003A662E" w:rsidRDefault="00924E6E"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sidR="00BE00D7">
        <w:rPr>
          <w:u w:val="single"/>
          <w:lang w:val="en-PH"/>
        </w:rPr>
        <w:t>(1)</w:t>
      </w:r>
      <w:r>
        <w:rPr>
          <w:lang w:val="en-PH"/>
        </w:rPr>
        <w:tab/>
      </w:r>
      <w:r w:rsidRPr="001B3EC6">
        <w:rPr>
          <w:strike/>
          <w:lang w:val="en-PH"/>
        </w:rPr>
        <w:t>If</w:t>
      </w:r>
      <w:r w:rsidRPr="009A6864">
        <w:rPr>
          <w:lang w:val="en-PH"/>
        </w:rPr>
        <w:t xml:space="preserve"> </w:t>
      </w:r>
      <w:r w:rsidR="001B3EC6">
        <w:rPr>
          <w:lang w:val="en-PH"/>
        </w:rPr>
        <w:t>A</w:t>
      </w:r>
      <w:r w:rsidRPr="009A6864">
        <w:rPr>
          <w:lang w:val="en-PH"/>
        </w:rPr>
        <w:t xml:space="preserve"> landowner whose land is the subject of a proposed amendment</w:t>
      </w:r>
      <w:r w:rsidR="001B3EC6">
        <w:rPr>
          <w:lang w:val="en-PH"/>
        </w:rPr>
        <w:t xml:space="preserve"> </w:t>
      </w:r>
      <w:r w:rsidR="009B4AA1">
        <w:rPr>
          <w:u w:val="single"/>
          <w:lang w:val="en-PH"/>
        </w:rPr>
        <w:t>or a contiguous</w:t>
      </w:r>
      <w:r w:rsidR="001B3EC6">
        <w:rPr>
          <w:u w:val="single"/>
          <w:lang w:val="en-PH"/>
        </w:rPr>
        <w:t xml:space="preserve"> property owner</w:t>
      </w:r>
      <w:r w:rsidRPr="009A6864">
        <w:rPr>
          <w:lang w:val="en-PH"/>
        </w:rPr>
        <w:t xml:space="preserve"> </w:t>
      </w:r>
      <w:r w:rsidRPr="001B3EC6">
        <w:rPr>
          <w:strike/>
          <w:lang w:val="en-PH"/>
        </w:rPr>
        <w:t>will</w:t>
      </w:r>
      <w:r w:rsidRPr="009A6864">
        <w:rPr>
          <w:lang w:val="en-PH"/>
        </w:rPr>
        <w:t xml:space="preserve"> </w:t>
      </w:r>
      <w:r w:rsidR="001B3EC6">
        <w:rPr>
          <w:u w:val="single"/>
          <w:lang w:val="en-PH"/>
        </w:rPr>
        <w:t>must</w:t>
      </w:r>
      <w:r w:rsidR="001B3EC6">
        <w:rPr>
          <w:lang w:val="en-PH"/>
        </w:rPr>
        <w:t xml:space="preserve"> </w:t>
      </w:r>
      <w:r w:rsidRPr="009A6864">
        <w:rPr>
          <w:lang w:val="en-PH"/>
        </w:rPr>
        <w:t>be allowed to present oral or written comments to the planning commission</w:t>
      </w:r>
      <w:r w:rsidRPr="00BE00D7">
        <w:rPr>
          <w:strike/>
          <w:lang w:val="en-PH"/>
        </w:rPr>
        <w:t>,</w:t>
      </w:r>
      <w:r w:rsidR="00BE00D7">
        <w:rPr>
          <w:u w:val="single"/>
          <w:lang w:val="en-PH"/>
        </w:rPr>
        <w:t>.</w:t>
      </w:r>
    </w:p>
    <w:p w:rsidR="00924E6E" w:rsidRDefault="003A662E"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r>
      <w:r>
        <w:rPr>
          <w:u w:val="single"/>
          <w:lang w:val="en-PH"/>
        </w:rPr>
        <w:t>(2)</w:t>
      </w:r>
      <w:r>
        <w:rPr>
          <w:lang w:val="en-PH"/>
        </w:rPr>
        <w:tab/>
        <w:t>A</w:t>
      </w:r>
      <w:r w:rsidR="00924E6E" w:rsidRPr="009A6864">
        <w:rPr>
          <w:lang w:val="en-PH"/>
        </w:rPr>
        <w:t>t least ten days</w:t>
      </w:r>
      <w:r w:rsidR="0066308E">
        <w:rPr>
          <w:lang w:val="en-PH"/>
        </w:rPr>
        <w:t>’</w:t>
      </w:r>
      <w:r w:rsidR="00924E6E" w:rsidRPr="009A6864">
        <w:rPr>
          <w:lang w:val="en-PH"/>
        </w:rPr>
        <w:t xml:space="preserve"> notice and an opportunity to comment in the same manner must be given to other interested members of the public</w:t>
      </w:r>
      <w:r w:rsidR="00924E6E" w:rsidRPr="001B3EC6">
        <w:rPr>
          <w:strike/>
          <w:lang w:val="en-PH"/>
        </w:rPr>
        <w:t>, including owners of adjoining property</w:t>
      </w:r>
      <w:r w:rsidR="00924E6E" w:rsidRPr="009A6864">
        <w:rPr>
          <w:lang w:val="en-PH"/>
        </w:rPr>
        <w:t>.</w:t>
      </w:r>
    </w:p>
    <w:p w:rsidR="004A5068" w:rsidRDefault="00892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004A5068">
        <w:rPr>
          <w:lang w:val="en-PH"/>
        </w:rPr>
        <w:t>(C)</w:t>
      </w:r>
      <w:r w:rsidR="004A5068">
        <w:rPr>
          <w:u w:val="single"/>
          <w:lang w:val="en-PH"/>
        </w:rPr>
        <w:t>(1)</w:t>
      </w:r>
      <w:r w:rsidR="004A5068">
        <w:rPr>
          <w:lang w:val="en-PH"/>
        </w:rPr>
        <w:tab/>
      </w:r>
      <w:r w:rsidR="004A5068" w:rsidRPr="009A6864">
        <w:rPr>
          <w:lang w:val="en-PH"/>
        </w:rPr>
        <w:t>An owner of adjoining land or his representative has standing to bring an action contesting the ordinance or amendment; however, this subsection does not create any new substantive right in any party.</w:t>
      </w:r>
    </w:p>
    <w:p w:rsidR="00892939" w:rsidRDefault="004A5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lang w:val="en-PH"/>
        </w:rPr>
        <w:tab/>
      </w:r>
      <w:r>
        <w:rPr>
          <w:lang w:val="en-PH"/>
        </w:rPr>
        <w:tab/>
      </w:r>
      <w:r w:rsidRPr="00C81D40">
        <w:rPr>
          <w:color w:val="000000" w:themeColor="text1"/>
          <w:u w:val="single" w:color="000000" w:themeColor="text1"/>
        </w:rPr>
        <w:t>(2)</w:t>
      </w:r>
      <w:r w:rsidRPr="00C81D40">
        <w:rPr>
          <w:color w:val="000000" w:themeColor="text1"/>
          <w:u w:color="000000" w:themeColor="text1"/>
        </w:rPr>
        <w:tab/>
      </w:r>
      <w:r w:rsidRPr="00C81D40">
        <w:rPr>
          <w:color w:val="000000" w:themeColor="text1"/>
          <w:u w:val="single" w:color="000000" w:themeColor="text1"/>
        </w:rPr>
        <w:t>Notwithstanding another provision of law, if the governing authority or the planning commission fail</w:t>
      </w:r>
      <w:r w:rsidR="009E77FB">
        <w:rPr>
          <w:color w:val="000000" w:themeColor="text1"/>
          <w:u w:val="single" w:color="000000" w:themeColor="text1"/>
        </w:rPr>
        <w:t>s</w:t>
      </w:r>
      <w:r w:rsidRPr="00C81D40">
        <w:rPr>
          <w:color w:val="000000" w:themeColor="text1"/>
          <w:u w:val="single" w:color="000000" w:themeColor="text1"/>
        </w:rPr>
        <w:t xml:space="preserve"> to provide the notice required pursuant to subse</w:t>
      </w:r>
      <w:r w:rsidR="009B4AA1">
        <w:rPr>
          <w:color w:val="000000" w:themeColor="text1"/>
          <w:u w:val="single" w:color="000000" w:themeColor="text1"/>
        </w:rPr>
        <w:t>ction (A), an owner of contiguous land or his representative</w:t>
      </w:r>
      <w:r w:rsidRPr="00C81D40">
        <w:rPr>
          <w:color w:val="000000" w:themeColor="text1"/>
          <w:u w:val="single" w:color="000000" w:themeColor="text1"/>
        </w:rPr>
        <w:t xml:space="preserve"> may apply to a court of competent jurisdiction for injunctive and such other relief as the court may consider proper including, but not limited to, rendering the ordinance or amendment invalid. If the court finds that the governing authority or the planning commission failed to provide </w:t>
      </w:r>
      <w:r w:rsidRPr="00C81D40">
        <w:rPr>
          <w:color w:val="000000" w:themeColor="text1"/>
          <w:u w:val="single" w:color="000000" w:themeColor="text1"/>
        </w:rPr>
        <w:lastRenderedPageBreak/>
        <w:t xml:space="preserve">the notice required pursuant to subsection (A), it may, in addition to the relief specified in this item, impose a civil fine </w:t>
      </w:r>
      <w:r w:rsidR="009B4AA1">
        <w:rPr>
          <w:color w:val="000000" w:themeColor="text1"/>
          <w:u w:val="single" w:color="000000" w:themeColor="text1"/>
        </w:rPr>
        <w:t>of five hundred dollars on the</w:t>
      </w:r>
      <w:r w:rsidRPr="00C81D40">
        <w:rPr>
          <w:color w:val="000000" w:themeColor="text1"/>
          <w:u w:val="single" w:color="000000" w:themeColor="text1"/>
        </w:rPr>
        <w:t xml:space="preserve"> governing authority or the planning commission.</w:t>
      </w:r>
    </w:p>
    <w:p w:rsidR="004A5068" w:rsidRDefault="00892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76524D" w:rsidRPr="0076524D">
        <w:rPr>
          <w:strike/>
          <w:lang w:val="en-PH"/>
        </w:rPr>
        <w:t>(D)</w:t>
      </w:r>
      <w:r w:rsidR="00610380" w:rsidRPr="00610380">
        <w:rPr>
          <w:lang w:val="en-PH"/>
        </w:rPr>
        <w:tab/>
      </w:r>
      <w:r w:rsidRPr="0076524D">
        <w:rPr>
          <w:strike/>
          <w:lang w:val="en-PH"/>
        </w:rPr>
        <w:t>No challenge to the adequacy of notice or challenge to the validity of a regulation or map, or amendment to it, whether enacted before or after the effective date of this section, may be made sixty days after the decision of the governing body if there has been substantial compliance with the notice requirements of this section or with established procedures of the governing authority or the planning commission.</w:t>
      </w:r>
      <w:r w:rsidR="004A5068" w:rsidRPr="00C81D40">
        <w:rPr>
          <w:color w:val="000000" w:themeColor="text1"/>
          <w:u w:color="000000" w:themeColor="text1"/>
        </w:rPr>
        <w:t>”</w:t>
      </w:r>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5068">
        <w:t>2</w:t>
      </w:r>
      <w:r>
        <w:t>.</w:t>
      </w:r>
      <w:r>
        <w:tab/>
        <w:t>This act takes effect upon approval by the Governor.</w:t>
      </w:r>
    </w:p>
    <w:p w:rsidR="004147F2" w:rsidRDefault="0066308E" w:rsidP="004F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E80" w:rsidRDefault="00536E80" w:rsidP="00536E80">
      <w:pPr>
        <w:suppressAutoHyphens/>
      </w:pPr>
    </w:p>
    <w:sectPr w:rsidR="00536E80" w:rsidSect="00536E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17FA" w:rsidRDefault="00DC17FA" w:rsidP="009F0C77">
      <w:r>
        <w:separator/>
      </w:r>
    </w:p>
  </w:endnote>
  <w:endnote w:type="continuationSeparator" w:id="0">
    <w:p w:rsidR="00DC17FA" w:rsidRDefault="00DC17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A767CE5-47C2-4372-A878-8F512BEA06A7}"/>
    <w:embedBold r:id="rId2" w:fontKey="{CB89EE87-2D16-4555-8EA7-4E0027771B65}"/>
  </w:font>
  <w:font w:name="Calibri">
    <w:panose1 w:val="020F0502020204030204"/>
    <w:charset w:val="00"/>
    <w:family w:val="swiss"/>
    <w:pitch w:val="variable"/>
    <w:sig w:usb0="E4002EFF" w:usb1="C000247B" w:usb2="00000009" w:usb3="00000000" w:csb0="000001FF" w:csb1="00000000"/>
    <w:embedRegular r:id="rId3" w:fontKey="{79DC3AEF-C2BF-4D4E-8D3C-52EE0C640130}"/>
  </w:font>
  <w:font w:name="Segoe UI">
    <w:panose1 w:val="020B0502040204020203"/>
    <w:charset w:val="00"/>
    <w:family w:val="swiss"/>
    <w:pitch w:val="variable"/>
    <w:sig w:usb0="E4002EFF" w:usb1="C000E47F" w:usb2="00000009" w:usb3="00000000" w:csb0="000001FF" w:csb1="00000000"/>
    <w:embedRegular r:id="rId4" w:fontKey="{D188BDA4-08D6-452A-8E77-941D8C942D1D}"/>
  </w:font>
  <w:font w:name="Cambria">
    <w:panose1 w:val="02040503050406030204"/>
    <w:charset w:val="00"/>
    <w:family w:val="roman"/>
    <w:pitch w:val="variable"/>
    <w:sig w:usb0="E00006FF" w:usb1="420024FF" w:usb2="02000000" w:usb3="00000000" w:csb0="0000019F" w:csb1="00000000"/>
    <w:embedRegular r:id="rId5" w:fontKey="{6705ADC9-7D7C-452C-9F4D-0F1E605D7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47F2" w:rsidRPr="00536E80" w:rsidRDefault="00536E80" w:rsidP="00536E80">
    <w:pPr>
      <w:pStyle w:val="Footer"/>
      <w:tabs>
        <w:tab w:val="clear" w:pos="4680"/>
        <w:tab w:val="clear" w:pos="9360"/>
        <w:tab w:val="center" w:pos="2995"/>
      </w:tabs>
      <w:spacing w:before="120"/>
    </w:pPr>
    <w:r>
      <w:t>[5192]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17FA" w:rsidRDefault="00DC17FA" w:rsidP="009F0C77">
      <w:r>
        <w:separator/>
      </w:r>
    </w:p>
  </w:footnote>
  <w:footnote w:type="continuationSeparator" w:id="0">
    <w:p w:rsidR="00DC17FA" w:rsidRDefault="00DC17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67ZW22"/>
    <w:docVar w:name="CoverBillType" w:val="b"/>
    <w:docVar w:name="DocPath" w:val="L:\Council\bills\CC\16167ZW22.DOCX"/>
    <w:docVar w:name="dvBillNumber" w:val="5192"/>
    <w:docVar w:name="dvBillNumberPrefix" w:val="H. "/>
    <w:docVar w:name="dvOriginalBody" w:val="House"/>
    <w:docVar w:name="dvSteno" w:val="CC"/>
    <w:docVar w:name="NameofBody" w:val="h"/>
    <w:docVar w:name="vGroup2" w:val="Council"/>
  </w:docVars>
  <w:rsids>
    <w:rsidRoot w:val="00B80770"/>
    <w:rsid w:val="00004D68"/>
    <w:rsid w:val="00011869"/>
    <w:rsid w:val="00015CD6"/>
    <w:rsid w:val="00056C6D"/>
    <w:rsid w:val="000E0100"/>
    <w:rsid w:val="000E1785"/>
    <w:rsid w:val="000F40FA"/>
    <w:rsid w:val="001035F1"/>
    <w:rsid w:val="0010776B"/>
    <w:rsid w:val="00133E66"/>
    <w:rsid w:val="001435A3"/>
    <w:rsid w:val="00146ED3"/>
    <w:rsid w:val="00151044"/>
    <w:rsid w:val="0015293E"/>
    <w:rsid w:val="001B3EC6"/>
    <w:rsid w:val="001D08F2"/>
    <w:rsid w:val="001D3A58"/>
    <w:rsid w:val="001D525B"/>
    <w:rsid w:val="001D7F4F"/>
    <w:rsid w:val="00200103"/>
    <w:rsid w:val="00205238"/>
    <w:rsid w:val="002321B6"/>
    <w:rsid w:val="00232912"/>
    <w:rsid w:val="00250967"/>
    <w:rsid w:val="002543C8"/>
    <w:rsid w:val="0025541D"/>
    <w:rsid w:val="002640DF"/>
    <w:rsid w:val="00284AAE"/>
    <w:rsid w:val="002E5912"/>
    <w:rsid w:val="00301B21"/>
    <w:rsid w:val="00325348"/>
    <w:rsid w:val="00326199"/>
    <w:rsid w:val="0032732C"/>
    <w:rsid w:val="00336AD0"/>
    <w:rsid w:val="00363E1F"/>
    <w:rsid w:val="003659E2"/>
    <w:rsid w:val="0037079A"/>
    <w:rsid w:val="003776C2"/>
    <w:rsid w:val="003A662E"/>
    <w:rsid w:val="003C4DAB"/>
    <w:rsid w:val="003D01E8"/>
    <w:rsid w:val="003E0C2E"/>
    <w:rsid w:val="003E5288"/>
    <w:rsid w:val="003E6F61"/>
    <w:rsid w:val="003F6D79"/>
    <w:rsid w:val="004147F2"/>
    <w:rsid w:val="0041760A"/>
    <w:rsid w:val="00417C01"/>
    <w:rsid w:val="004311D3"/>
    <w:rsid w:val="004403BD"/>
    <w:rsid w:val="00461441"/>
    <w:rsid w:val="004809EE"/>
    <w:rsid w:val="0049785F"/>
    <w:rsid w:val="004A5068"/>
    <w:rsid w:val="004E7D54"/>
    <w:rsid w:val="004F2FE9"/>
    <w:rsid w:val="005273C6"/>
    <w:rsid w:val="00530A69"/>
    <w:rsid w:val="00536E80"/>
    <w:rsid w:val="00545593"/>
    <w:rsid w:val="00556EBF"/>
    <w:rsid w:val="00577C6C"/>
    <w:rsid w:val="00585E44"/>
    <w:rsid w:val="0059371A"/>
    <w:rsid w:val="005A62FE"/>
    <w:rsid w:val="005B1436"/>
    <w:rsid w:val="005C2FE2"/>
    <w:rsid w:val="005E2BC9"/>
    <w:rsid w:val="005F1085"/>
    <w:rsid w:val="00605102"/>
    <w:rsid w:val="00610380"/>
    <w:rsid w:val="006215AA"/>
    <w:rsid w:val="0066308E"/>
    <w:rsid w:val="00687C0B"/>
    <w:rsid w:val="006913C9"/>
    <w:rsid w:val="0069470D"/>
    <w:rsid w:val="006D58AA"/>
    <w:rsid w:val="00734F00"/>
    <w:rsid w:val="00736959"/>
    <w:rsid w:val="0076524D"/>
    <w:rsid w:val="007A70AE"/>
    <w:rsid w:val="007B4F29"/>
    <w:rsid w:val="007C177D"/>
    <w:rsid w:val="00834DE3"/>
    <w:rsid w:val="008362E8"/>
    <w:rsid w:val="0085786E"/>
    <w:rsid w:val="00892939"/>
    <w:rsid w:val="008A1768"/>
    <w:rsid w:val="008A489F"/>
    <w:rsid w:val="008B1ECD"/>
    <w:rsid w:val="008F0F33"/>
    <w:rsid w:val="008F4429"/>
    <w:rsid w:val="00924E6E"/>
    <w:rsid w:val="00933DBB"/>
    <w:rsid w:val="0094021A"/>
    <w:rsid w:val="009B44AF"/>
    <w:rsid w:val="009B4AA1"/>
    <w:rsid w:val="009C6A0B"/>
    <w:rsid w:val="009E77F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0770"/>
    <w:rsid w:val="00BB115F"/>
    <w:rsid w:val="00BB6161"/>
    <w:rsid w:val="00BE00D7"/>
    <w:rsid w:val="00BE3C22"/>
    <w:rsid w:val="00BF0FFE"/>
    <w:rsid w:val="00C0345E"/>
    <w:rsid w:val="00C21ABE"/>
    <w:rsid w:val="00C31C95"/>
    <w:rsid w:val="00C3483A"/>
    <w:rsid w:val="00C74E9D"/>
    <w:rsid w:val="00C826DD"/>
    <w:rsid w:val="00C82FD3"/>
    <w:rsid w:val="00C92819"/>
    <w:rsid w:val="00CC6B7B"/>
    <w:rsid w:val="00CD2089"/>
    <w:rsid w:val="00D66535"/>
    <w:rsid w:val="00D73A67"/>
    <w:rsid w:val="00D970A9"/>
    <w:rsid w:val="00DC17FA"/>
    <w:rsid w:val="00DF3845"/>
    <w:rsid w:val="00E41911"/>
    <w:rsid w:val="00E44B57"/>
    <w:rsid w:val="00E92EEF"/>
    <w:rsid w:val="00ED1F14"/>
    <w:rsid w:val="00EF2368"/>
    <w:rsid w:val="00F1163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289A7-2056-488D-8265-613572C3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7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7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6F82E-B917-460A-A23D-C84E38A33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750</Words>
  <Characters>3849</Characters>
  <Application>Microsoft Office Word</Application>
  <DocSecurity>0</DocSecurity>
  <Lines>98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5192 Text of Previous Version (Mar. 31, 2022) - South Carolina Legislature Online</dc:title>
  <dc:creator>Chris Charlton</dc:creator>
  <cp:lastModifiedBy>Sade Wilson</cp:lastModifiedBy>
  <cp:revision>2</cp:revision>
  <cp:lastPrinted>2022-03-30T22:00:00Z</cp:lastPrinted>
  <dcterms:created xsi:type="dcterms:W3CDTF">2022-03-31T15:23:00Z</dcterms:created>
  <dcterms:modified xsi:type="dcterms:W3CDTF">2022-03-31T15:23:00Z</dcterms:modified>
</cp:coreProperties>
</file>