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Talley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SR-0670KM24.docx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Drug Pricing Nondiscrimination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68d6675751749b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e660cebc4df2437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48ba722bfe44f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9ec8b533d740ad">
        <w:r>
          <w:rPr>
            <w:rStyle w:val="Hyperlink"/>
            <w:u w:val="single"/>
          </w:rPr>
          <w:t>04/04/2024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90AA6" w14:paraId="40FEFADA" w14:textId="11F967F6">
          <w:pPr>
            <w:pStyle w:val="scbilltitle"/>
          </w:pPr>
          <w:r>
            <w:t>TO AMEND THE SOUTH CAROLINA CODE OF LAWS BY ADDING SECTION 44‑117‑510 SO AS TO PROVIDE DEFINITIONS FOR PATIENT, THIRD PARTY, AND 340B DRUG PRICING; BY ADDING SECTION 44‑117‑520 SO AS TO PROVIDE THAT A THIRD PARTY SHALL INFORM A PATIENT THAT HE IS NOT REQUIRED TO USE A MAIL‑ORDER PHARMACY, SHALL OBTAIN A SIGNED WAIVER FROM A PATIENT BEFORE ALLOWING THE USE OF A MAIL‑ORDER PHARMACY, SHALL MAKE DRUG FORMULARY AND COVERAGE DECISIONS BASED ON THE THIRD PARTY</w:t>
          </w:r>
          <w:r w:rsidR="00C125A8">
            <w:t>’</w:t>
          </w:r>
          <w:r>
            <w:t>S NORMAL COURSE OF BUSINESS, SHALL ALLOW A PATIENT THE FREEDOM TO USE ANY PHARMACY OR ANY PROVIDER THE PATIENT CHOOSES, AND SHALL ELIMINATE DISCRIMINATORY CONTRACTING; BY ADDING SECTION 44‑117‑530 SO AS TO PROVIDE THAT ALL PHARMACY CLAIMS PROCESSED BY A PHARMACY THAT PARTICIPATES IN 340B DRUG PRICING ARE FINAL AT THE POINT OF ADJUDICATION; BY ADDING SECTION 44‑117‑540 SO AS TO PROVIDE THAT THE INSURANCE COMMISSIONER MAY PROMULGATE RULES TO IMPLEMENT THE PROVISIONS OF THIS CHAPTER.</w:t>
          </w:r>
        </w:p>
      </w:sdtContent>
    </w:sdt>
    <w:bookmarkStart w:name="at_760868e8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8de3f80a" w:id="1"/>
      <w:r w:rsidRPr="0094541D">
        <w:t>B</w:t>
      </w:r>
      <w:bookmarkEnd w:id="1"/>
      <w:r w:rsidRPr="0094541D">
        <w:t>e it enacted by the General Assembly of the State of South Carolina:</w:t>
      </w:r>
    </w:p>
    <w:p w:rsidR="006F0123" w:rsidP="006F0123" w:rsidRDefault="006F0123" w14:paraId="188210ED" w14:textId="77777777">
      <w:pPr>
        <w:pStyle w:val="scemptyline"/>
      </w:pPr>
    </w:p>
    <w:p w:rsidR="009308F4" w:rsidP="009308F4" w:rsidRDefault="006F0123" w14:paraId="791671E8" w14:textId="77777777">
      <w:pPr>
        <w:pStyle w:val="scdirectionallanguage"/>
      </w:pPr>
      <w:bookmarkStart w:name="bs_num_1_26730995c" w:id="2"/>
      <w:r>
        <w:t>S</w:t>
      </w:r>
      <w:bookmarkEnd w:id="2"/>
      <w:r>
        <w:t>ECTION 1.</w:t>
      </w:r>
      <w:r>
        <w:tab/>
      </w:r>
      <w:bookmarkStart w:name="dl_5831a94d0" w:id="3"/>
      <w:r w:rsidR="009308F4">
        <w:t>C</w:t>
      </w:r>
      <w:bookmarkEnd w:id="3"/>
      <w:r w:rsidR="009308F4">
        <w:t>hapter 117, Title 44 of the S.C. Code is amended by adding:</w:t>
      </w:r>
    </w:p>
    <w:p w:rsidR="009308F4" w:rsidP="009308F4" w:rsidRDefault="009308F4" w14:paraId="06C2869B" w14:textId="77777777">
      <w:pPr>
        <w:pStyle w:val="scemptyline"/>
      </w:pPr>
    </w:p>
    <w:p w:rsidR="009308F4" w:rsidP="009308F4" w:rsidRDefault="009308F4" w14:paraId="09F16966" w14:textId="77777777">
      <w:pPr>
        <w:pStyle w:val="scnewcodesection"/>
        <w:jc w:val="center"/>
      </w:pPr>
      <w:bookmarkStart w:name="up_4809c46c9" w:id="4"/>
      <w:r>
        <w:t>A</w:t>
      </w:r>
      <w:bookmarkEnd w:id="4"/>
      <w:r>
        <w:t>rticle 5</w:t>
      </w:r>
    </w:p>
    <w:p w:rsidR="009308F4" w:rsidP="009308F4" w:rsidRDefault="009308F4" w14:paraId="7B8AB2A9" w14:textId="77777777">
      <w:pPr>
        <w:pStyle w:val="scnewcodesection"/>
        <w:jc w:val="center"/>
      </w:pPr>
    </w:p>
    <w:p w:rsidR="009308F4" w:rsidP="009308F4" w:rsidRDefault="00CA58E3" w14:paraId="097BB976" w14:textId="5E901A21">
      <w:pPr>
        <w:pStyle w:val="scnewcodesection"/>
        <w:jc w:val="center"/>
      </w:pPr>
      <w:bookmarkStart w:name="up_00b85fa75" w:id="5"/>
      <w:r>
        <w:t>D</w:t>
      </w:r>
      <w:bookmarkEnd w:id="5"/>
      <w:r>
        <w:t>rug Pricing Nondiscrimination</w:t>
      </w:r>
    </w:p>
    <w:p w:rsidR="009308F4" w:rsidP="009308F4" w:rsidRDefault="009308F4" w14:paraId="45E4F99C" w14:textId="77777777">
      <w:pPr>
        <w:pStyle w:val="scnewcodesection"/>
        <w:jc w:val="center"/>
      </w:pPr>
    </w:p>
    <w:p w:rsidR="009308F4" w:rsidP="009308F4" w:rsidRDefault="009308F4" w14:paraId="5A941D98" w14:textId="59939882">
      <w:pPr>
        <w:pStyle w:val="scnewcodesection"/>
      </w:pPr>
      <w:r>
        <w:tab/>
      </w:r>
      <w:bookmarkStart w:name="ns_T44C117N510_4059b420c" w:id="6"/>
      <w:r>
        <w:t>S</w:t>
      </w:r>
      <w:bookmarkEnd w:id="6"/>
      <w:r>
        <w:t>ection 44‑117‑510.</w:t>
      </w:r>
      <w:r>
        <w:tab/>
      </w:r>
      <w:bookmarkStart w:name="up_24ad5523a" w:id="7"/>
      <w:r w:rsidR="00BE1B47">
        <w:t>A</w:t>
      </w:r>
      <w:bookmarkEnd w:id="7"/>
      <w:r w:rsidR="00BE1B47">
        <w:t>s used in this article:</w:t>
      </w:r>
    </w:p>
    <w:p w:rsidR="00BE1B47" w:rsidP="009308F4" w:rsidRDefault="00BE1B47" w14:paraId="11071CB9" w14:textId="041293E5">
      <w:pPr>
        <w:pStyle w:val="scnewcodesection"/>
      </w:pPr>
      <w:r>
        <w:tab/>
      </w:r>
      <w:bookmarkStart w:name="ss_T44C117N510S1_lv1_aee2297e5" w:id="8"/>
      <w:r>
        <w:t>(</w:t>
      </w:r>
      <w:bookmarkEnd w:id="8"/>
      <w:r>
        <w:t xml:space="preserve">1) </w:t>
      </w:r>
      <w:r w:rsidR="003561E3">
        <w:t>“</w:t>
      </w:r>
      <w:r w:rsidRPr="00BE1B47">
        <w:t>Patient</w:t>
      </w:r>
      <w:r>
        <w:t>”</w:t>
      </w:r>
      <w:r w:rsidRPr="00BE1B47">
        <w:t xml:space="preserve"> means an individual seeking medical diagnosis and</w:t>
      </w:r>
      <w:r>
        <w:t xml:space="preserve"> treatment.</w:t>
      </w:r>
    </w:p>
    <w:p w:rsidR="00BE1B47" w:rsidP="009308F4" w:rsidRDefault="00BE1B47" w14:paraId="473695AD" w14:textId="44329941">
      <w:pPr>
        <w:pStyle w:val="scnewcodesection"/>
      </w:pPr>
      <w:r>
        <w:tab/>
      </w:r>
      <w:bookmarkStart w:name="ss_T44C117N510S2_lv1_4de0b4788" w:id="9"/>
      <w:r>
        <w:t>(</w:t>
      </w:r>
      <w:bookmarkEnd w:id="9"/>
      <w:r>
        <w:t>2)</w:t>
      </w:r>
      <w:bookmarkStart w:name="ss_T44C117N510Sa_lv2_56824677f" w:id="10"/>
      <w:r>
        <w:t>(</w:t>
      </w:r>
      <w:bookmarkEnd w:id="10"/>
      <w:r>
        <w:t>a) “Third party” means a payor or the payor’s intermediary, or a pharmacy benefits manager.</w:t>
      </w:r>
    </w:p>
    <w:p w:rsidR="00BE1B47" w:rsidP="009308F4" w:rsidRDefault="00BE1B47" w14:paraId="3A058289" w14:textId="539E5E63">
      <w:pPr>
        <w:pStyle w:val="scnewcodesection"/>
      </w:pPr>
      <w:r>
        <w:tab/>
      </w:r>
      <w:r>
        <w:tab/>
      </w:r>
      <w:bookmarkStart w:name="ss_T44C117N510Sb_lv2_9087c6739" w:id="11"/>
      <w:r>
        <w:t>(</w:t>
      </w:r>
      <w:bookmarkEnd w:id="11"/>
      <w:r>
        <w:t>b) “Third party” does not include the South Carolina Medicaid program, a risk‑based provider organization, or a self‑insured governmental plan or a pharmacy benefits manager for a self‑insured governmental plan.</w:t>
      </w:r>
    </w:p>
    <w:p w:rsidR="00BE1B47" w:rsidP="009308F4" w:rsidRDefault="00BE1B47" w14:paraId="26D89618" w14:textId="74A0CF94">
      <w:pPr>
        <w:pStyle w:val="scnewcodesection"/>
      </w:pPr>
      <w:r>
        <w:tab/>
      </w:r>
      <w:bookmarkStart w:name="ss_T44C117N510S3_lv1_9a452b766" w:id="12"/>
      <w:r>
        <w:t>(</w:t>
      </w:r>
      <w:bookmarkEnd w:id="12"/>
      <w:r>
        <w:t xml:space="preserve">3) “340B drug pricing” means the program established under </w:t>
      </w:r>
      <w:r w:rsidR="001502E9">
        <w:t>S</w:t>
      </w:r>
      <w:r>
        <w:t>ection 602 of the Veterans Health Care Act of 1992, Pub. L. No. 102‑585.</w:t>
      </w:r>
    </w:p>
    <w:p w:rsidR="009308F4" w:rsidP="009308F4" w:rsidRDefault="009308F4" w14:paraId="5C386C02" w14:textId="77777777">
      <w:pPr>
        <w:pStyle w:val="scnewcodesection"/>
      </w:pPr>
    </w:p>
    <w:p w:rsidR="009308F4" w:rsidP="009308F4" w:rsidRDefault="009308F4" w14:paraId="0A22E904" w14:textId="5FA848BC">
      <w:pPr>
        <w:pStyle w:val="scnewcodesection"/>
      </w:pPr>
      <w:r>
        <w:tab/>
      </w:r>
      <w:bookmarkStart w:name="ns_T44C117N520_62431eb99" w:id="13"/>
      <w:r>
        <w:t>S</w:t>
      </w:r>
      <w:bookmarkEnd w:id="13"/>
      <w:r>
        <w:t>ection 44‑117‑520.</w:t>
      </w:r>
      <w:r>
        <w:tab/>
      </w:r>
      <w:bookmarkStart w:name="ss_T44C117N520SA_lv1_0fd661429" w:id="14"/>
      <w:r w:rsidR="00D85518">
        <w:t>(</w:t>
      </w:r>
      <w:bookmarkEnd w:id="14"/>
      <w:r w:rsidR="00D85518">
        <w:t>A) A third party shall:</w:t>
      </w:r>
    </w:p>
    <w:p w:rsidR="00D85518" w:rsidP="009308F4" w:rsidRDefault="00D85518" w14:paraId="1548A312" w14:textId="061DBBCF">
      <w:pPr>
        <w:pStyle w:val="scnewcodesection"/>
      </w:pPr>
      <w:r>
        <w:tab/>
      </w:r>
      <w:r>
        <w:tab/>
      </w:r>
      <w:bookmarkStart w:name="ss_T44C117N520S1_lv2_f137e0643" w:id="15"/>
      <w:r>
        <w:t>(</w:t>
      </w:r>
      <w:bookmarkEnd w:id="15"/>
      <w:r>
        <w:t>1) i</w:t>
      </w:r>
      <w:r w:rsidRPr="00D85518">
        <w:t xml:space="preserve">nform a patient that </w:t>
      </w:r>
      <w:r w:rsidR="00BE1655">
        <w:t>he</w:t>
      </w:r>
      <w:r w:rsidRPr="00D85518">
        <w:t xml:space="preserve"> is not required to use a</w:t>
      </w:r>
      <w:r>
        <w:t xml:space="preserve"> m</w:t>
      </w:r>
      <w:r w:rsidRPr="00D85518">
        <w:t xml:space="preserve">ail‑order </w:t>
      </w:r>
      <w:proofErr w:type="gramStart"/>
      <w:r w:rsidRPr="00D85518">
        <w:t>pharmacy;</w:t>
      </w:r>
      <w:proofErr w:type="gramEnd"/>
    </w:p>
    <w:p w:rsidR="00D85518" w:rsidP="009308F4" w:rsidRDefault="00D85518" w14:paraId="61BFA6B4" w14:textId="2A4582AA">
      <w:pPr>
        <w:pStyle w:val="scnewcodesection"/>
      </w:pPr>
      <w:r>
        <w:lastRenderedPageBreak/>
        <w:tab/>
      </w:r>
      <w:r>
        <w:tab/>
      </w:r>
      <w:bookmarkStart w:name="ss_T44C117N520S2_lv2_116012b2e" w:id="16"/>
      <w:r>
        <w:t>(</w:t>
      </w:r>
      <w:bookmarkEnd w:id="16"/>
      <w:r>
        <w:t>2) o</w:t>
      </w:r>
      <w:r w:rsidRPr="00D85518">
        <w:t>btain a signed waiver from a patient before allowing the</w:t>
      </w:r>
      <w:r>
        <w:t xml:space="preserve"> </w:t>
      </w:r>
      <w:r w:rsidRPr="00D85518">
        <w:t xml:space="preserve">use of a mail‑order </w:t>
      </w:r>
      <w:proofErr w:type="gramStart"/>
      <w:r w:rsidRPr="00D85518">
        <w:t>pharmacy;</w:t>
      </w:r>
      <w:proofErr w:type="gramEnd"/>
      <w:r w:rsidRPr="00D85518">
        <w:cr/>
      </w:r>
      <w:r>
        <w:tab/>
      </w:r>
      <w:r>
        <w:tab/>
      </w:r>
      <w:bookmarkStart w:name="ss_T44C117N520S3_lv2_8756ef69" w:id="17"/>
      <w:r>
        <w:t>(</w:t>
      </w:r>
      <w:bookmarkEnd w:id="17"/>
      <w:r>
        <w:t>3) m</w:t>
      </w:r>
      <w:r w:rsidRPr="00D85518">
        <w:t>ake drug formulary and coverage decisions based on the</w:t>
      </w:r>
      <w:r>
        <w:t xml:space="preserve"> </w:t>
      </w:r>
      <w:r w:rsidRPr="00D85518">
        <w:t xml:space="preserve">third party's normal course of </w:t>
      </w:r>
      <w:proofErr w:type="gramStart"/>
      <w:r w:rsidRPr="00D85518">
        <w:t>business;</w:t>
      </w:r>
      <w:proofErr w:type="gramEnd"/>
      <w:r w:rsidRPr="00D85518">
        <w:cr/>
      </w:r>
      <w:r>
        <w:tab/>
      </w:r>
      <w:r>
        <w:tab/>
      </w:r>
      <w:bookmarkStart w:name="ss_T44C117N520S4_lv2_ac5ecd7c" w:id="18"/>
      <w:r>
        <w:t>(</w:t>
      </w:r>
      <w:bookmarkEnd w:id="18"/>
      <w:r>
        <w:t>4) a</w:t>
      </w:r>
      <w:r w:rsidRPr="00D85518">
        <w:t>llow a patient the freedom to use any pharmacy or any</w:t>
      </w:r>
      <w:r>
        <w:t xml:space="preserve"> </w:t>
      </w:r>
      <w:r w:rsidRPr="00D85518">
        <w:t xml:space="preserve">provider the patient </w:t>
      </w:r>
      <w:proofErr w:type="gramStart"/>
      <w:r w:rsidRPr="00D85518">
        <w:t>chooses,</w:t>
      </w:r>
      <w:proofErr w:type="gramEnd"/>
      <w:r w:rsidRPr="00D85518">
        <w:t xml:space="preserve"> whether or not the pharmacy participates in</w:t>
      </w:r>
      <w:r>
        <w:t xml:space="preserve"> </w:t>
      </w:r>
      <w:r w:rsidRPr="00D85518">
        <w:t>340B drug pricing; and</w:t>
      </w:r>
    </w:p>
    <w:p w:rsidR="00D85518" w:rsidP="009308F4" w:rsidRDefault="00D85518" w14:paraId="007388C6" w14:textId="0F3F57FF">
      <w:pPr>
        <w:pStyle w:val="scnewcodesection"/>
      </w:pPr>
      <w:r>
        <w:tab/>
      </w:r>
      <w:r>
        <w:tab/>
      </w:r>
      <w:bookmarkStart w:name="ss_T44C117N520S5_lv2_96b6a471f" w:id="19"/>
      <w:r>
        <w:t>(</w:t>
      </w:r>
      <w:bookmarkEnd w:id="19"/>
      <w:r>
        <w:t>5) e</w:t>
      </w:r>
      <w:r w:rsidRPr="00D85518">
        <w:t>liminate discriminatory contracting as it relates to:</w:t>
      </w:r>
      <w:r w:rsidRPr="00D85518">
        <w:cr/>
      </w:r>
      <w:r>
        <w:tab/>
      </w:r>
      <w:r>
        <w:tab/>
      </w:r>
      <w:r>
        <w:tab/>
      </w:r>
      <w:bookmarkStart w:name="ss_T44C117N520Sa_lv3_011fb345" w:id="20"/>
      <w:r>
        <w:t>(</w:t>
      </w:r>
      <w:bookmarkEnd w:id="20"/>
      <w:r>
        <w:t>a) t</w:t>
      </w:r>
      <w:r w:rsidRPr="00D85518">
        <w:t>ransferring the benefit of 340B drug‑pricing savings</w:t>
      </w:r>
      <w:r>
        <w:t xml:space="preserve"> </w:t>
      </w:r>
      <w:r w:rsidRPr="00D85518">
        <w:t>from one entity, including critical access hospitals, federally qualified</w:t>
      </w:r>
      <w:r>
        <w:t xml:space="preserve"> </w:t>
      </w:r>
      <w:r w:rsidRPr="00D85518">
        <w:t>health centers, other hospitals, or 340B drug‑pricing participants and their</w:t>
      </w:r>
      <w:r>
        <w:t xml:space="preserve"> </w:t>
      </w:r>
      <w:r w:rsidRPr="00D85518">
        <w:t>underserved patients, to another entity, including without limitation</w:t>
      </w:r>
      <w:r>
        <w:t xml:space="preserve"> </w:t>
      </w:r>
      <w:r w:rsidRPr="00D85518">
        <w:t xml:space="preserve">pharmacy benefits managers, private insurers, and managed care </w:t>
      </w:r>
      <w:proofErr w:type="gramStart"/>
      <w:r w:rsidRPr="00D85518">
        <w:t>organizations;</w:t>
      </w:r>
      <w:proofErr w:type="gramEnd"/>
    </w:p>
    <w:p w:rsidR="00D85518" w:rsidP="009308F4" w:rsidRDefault="00D85518" w14:paraId="170906A7" w14:textId="7E7537A2">
      <w:pPr>
        <w:pStyle w:val="scnewcodesection"/>
      </w:pPr>
      <w:r>
        <w:tab/>
      </w:r>
      <w:r>
        <w:tab/>
      </w:r>
      <w:r>
        <w:tab/>
      </w:r>
      <w:bookmarkStart w:name="ss_T44C117N520Sb_lv3_f3ee0be26" w:id="21"/>
      <w:r>
        <w:t>(</w:t>
      </w:r>
      <w:bookmarkEnd w:id="21"/>
      <w:r>
        <w:t>b) p</w:t>
      </w:r>
      <w:r w:rsidRPr="00D85518">
        <w:t>ricing that occurs when offering a lower</w:t>
      </w:r>
      <w:r>
        <w:t xml:space="preserve"> </w:t>
      </w:r>
      <w:r w:rsidRPr="00D85518">
        <w:t>reimbursement for a drug purchased under 340B drug pricing than for the same</w:t>
      </w:r>
      <w:r>
        <w:t xml:space="preserve"> </w:t>
      </w:r>
      <w:r w:rsidRPr="00D85518">
        <w:t xml:space="preserve">drug not purchased under 340B drug </w:t>
      </w:r>
      <w:proofErr w:type="gramStart"/>
      <w:r w:rsidRPr="00D85518">
        <w:t>pricing;</w:t>
      </w:r>
      <w:proofErr w:type="gramEnd"/>
    </w:p>
    <w:p w:rsidR="00D85518" w:rsidP="009308F4" w:rsidRDefault="00D85518" w14:paraId="25C38E7C" w14:textId="6E3003B5">
      <w:pPr>
        <w:pStyle w:val="scnewcodesection"/>
      </w:pPr>
      <w:r>
        <w:tab/>
      </w:r>
      <w:r>
        <w:tab/>
      </w:r>
      <w:r>
        <w:tab/>
      </w:r>
      <w:bookmarkStart w:name="ss_T44C117N520Sc_lv3_0457f79e8" w:id="22"/>
      <w:r>
        <w:t>(</w:t>
      </w:r>
      <w:bookmarkEnd w:id="22"/>
      <w:r>
        <w:t>c) r</w:t>
      </w:r>
      <w:r w:rsidRPr="00D85518">
        <w:t>efusal to cover drugs purchased under 340B drug</w:t>
      </w:r>
      <w:r>
        <w:t xml:space="preserve"> </w:t>
      </w:r>
      <w:proofErr w:type="gramStart"/>
      <w:r>
        <w:t>pricing;</w:t>
      </w:r>
      <w:proofErr w:type="gramEnd"/>
    </w:p>
    <w:p w:rsidR="00D85518" w:rsidP="009308F4" w:rsidRDefault="00D85518" w14:paraId="3692A6D6" w14:textId="635E239C">
      <w:pPr>
        <w:pStyle w:val="scnewcodesection"/>
      </w:pPr>
      <w:r>
        <w:tab/>
      </w:r>
      <w:r>
        <w:tab/>
      </w:r>
      <w:r>
        <w:tab/>
      </w:r>
      <w:bookmarkStart w:name="ss_T44C117N520Sd_lv3_9db0a68dc" w:id="23"/>
      <w:r>
        <w:t>(</w:t>
      </w:r>
      <w:bookmarkEnd w:id="23"/>
      <w:r>
        <w:t xml:space="preserve">d) </w:t>
      </w:r>
      <w:r w:rsidR="00AD0A3A">
        <w:t>r</w:t>
      </w:r>
      <w:r w:rsidRPr="00AD0A3A" w:rsidR="00AD0A3A">
        <w:t>efusal to allow 340B drug‑pricing pharmacies to</w:t>
      </w:r>
      <w:r w:rsidR="00AD0A3A">
        <w:t xml:space="preserve"> </w:t>
      </w:r>
      <w:r w:rsidRPr="00AD0A3A" w:rsidR="00AD0A3A">
        <w:t>participate in networks; and</w:t>
      </w:r>
    </w:p>
    <w:p w:rsidR="00AD0A3A" w:rsidP="009308F4" w:rsidRDefault="00AD0A3A" w14:paraId="4C3F76EB" w14:textId="1C637BBE">
      <w:pPr>
        <w:pStyle w:val="scnewcodesection"/>
      </w:pPr>
      <w:r>
        <w:tab/>
      </w:r>
      <w:r>
        <w:tab/>
      </w:r>
      <w:r>
        <w:tab/>
      </w:r>
      <w:bookmarkStart w:name="ss_T44C117N520Se_lv3_865ed5c11" w:id="24"/>
      <w:r>
        <w:t>(</w:t>
      </w:r>
      <w:bookmarkEnd w:id="24"/>
      <w:r>
        <w:t>e) c</w:t>
      </w:r>
      <w:r w:rsidRPr="00AD0A3A">
        <w:t>harging more than fair market value or seeking profit</w:t>
      </w:r>
      <w:r>
        <w:t xml:space="preserve"> </w:t>
      </w:r>
      <w:r w:rsidRPr="00AD0A3A">
        <w:t>sharing in exchange for services involving 340B drug pricing.</w:t>
      </w:r>
      <w:r w:rsidRPr="00AD0A3A">
        <w:cr/>
      </w:r>
      <w:r>
        <w:tab/>
      </w:r>
      <w:bookmarkStart w:name="ss_T44C117N520SB_lv1_44001e33" w:id="25"/>
      <w:bookmarkStart w:name="open_doc_here" w:id="26"/>
      <w:r>
        <w:t>(</w:t>
      </w:r>
      <w:bookmarkEnd w:id="25"/>
      <w:bookmarkEnd w:id="26"/>
      <w:r>
        <w:t xml:space="preserve">B) </w:t>
      </w:r>
      <w:r w:rsidRPr="003561E3" w:rsidR="003561E3">
        <w:t>A third party shall not:</w:t>
      </w:r>
    </w:p>
    <w:p w:rsidR="003561E3" w:rsidP="003561E3" w:rsidRDefault="003561E3" w14:paraId="7B754DCD" w14:textId="3E42F9DA">
      <w:pPr>
        <w:pStyle w:val="scnewcodesection"/>
      </w:pPr>
      <w:r>
        <w:tab/>
      </w:r>
      <w:r>
        <w:tab/>
      </w:r>
      <w:bookmarkStart w:name="ss_T44C117N520S1_lv2_d83db42a7" w:id="27"/>
      <w:r>
        <w:t>(</w:t>
      </w:r>
      <w:bookmarkEnd w:id="27"/>
      <w:r>
        <w:t xml:space="preserve">1) coerce a patient into using a mail‑order </w:t>
      </w:r>
      <w:proofErr w:type="gramStart"/>
      <w:r>
        <w:t>pharmacy;</w:t>
      </w:r>
      <w:proofErr w:type="gramEnd"/>
    </w:p>
    <w:p w:rsidR="003561E3" w:rsidP="003561E3" w:rsidRDefault="003561E3" w14:paraId="4B87B520" w14:textId="571C4E0E">
      <w:pPr>
        <w:pStyle w:val="scnewcodesection"/>
      </w:pPr>
      <w:r>
        <w:tab/>
      </w:r>
      <w:r>
        <w:tab/>
      </w:r>
      <w:bookmarkStart w:name="ss_T44C117N520S2_lv2_11a1a0202" w:id="28"/>
      <w:r>
        <w:t>(</w:t>
      </w:r>
      <w:bookmarkEnd w:id="28"/>
      <w:r>
        <w:t xml:space="preserve">2) require a patient to use a mail‑order </w:t>
      </w:r>
      <w:proofErr w:type="gramStart"/>
      <w:r>
        <w:t>pharmacy;</w:t>
      </w:r>
      <w:proofErr w:type="gramEnd"/>
    </w:p>
    <w:p w:rsidR="003561E3" w:rsidP="003561E3" w:rsidRDefault="003561E3" w14:paraId="0726FB20" w14:textId="565ABEC8">
      <w:pPr>
        <w:pStyle w:val="scnewcodesection"/>
      </w:pPr>
      <w:r>
        <w:tab/>
      </w:r>
      <w:r>
        <w:tab/>
      </w:r>
      <w:bookmarkStart w:name="ss_T44C117N520S3_lv2_ce8b6710c" w:id="29"/>
      <w:r>
        <w:t>(</w:t>
      </w:r>
      <w:bookmarkEnd w:id="29"/>
      <w:r>
        <w:t xml:space="preserve">3) discriminate, lower the reimbursement, or impose any separate terms upon a pharmacy in any other third‑party contract on the basis that a pharmacy participates in 340B drug </w:t>
      </w:r>
      <w:proofErr w:type="gramStart"/>
      <w:r>
        <w:t>pricing;</w:t>
      </w:r>
      <w:proofErr w:type="gramEnd"/>
    </w:p>
    <w:p w:rsidR="003561E3" w:rsidP="003561E3" w:rsidRDefault="003561E3" w14:paraId="2B8C9B5F" w14:textId="08758BC2">
      <w:pPr>
        <w:pStyle w:val="scnewcodesection"/>
      </w:pPr>
      <w:r>
        <w:tab/>
      </w:r>
      <w:r>
        <w:tab/>
      </w:r>
      <w:bookmarkStart w:name="ss_T44C117N520S4_lv2_e585af0fd" w:id="30"/>
      <w:r>
        <w:t>(</w:t>
      </w:r>
      <w:bookmarkEnd w:id="30"/>
      <w:r>
        <w:t xml:space="preserve">4) require a pharmacy to reverse, resubmit, or clarify a 340B drug‑pricing claim after the initial adjudication unless these actions are in the normal course of pharmacy business and not related to 340B drug </w:t>
      </w:r>
      <w:proofErr w:type="gramStart"/>
      <w:r>
        <w:t>pricing;</w:t>
      </w:r>
      <w:proofErr w:type="gramEnd"/>
    </w:p>
    <w:p w:rsidR="003561E3" w:rsidP="003561E3" w:rsidRDefault="003561E3" w14:paraId="2E65FED3" w14:textId="286F1860">
      <w:pPr>
        <w:pStyle w:val="scnewcodesection"/>
      </w:pPr>
      <w:r>
        <w:tab/>
      </w:r>
      <w:r>
        <w:tab/>
      </w:r>
      <w:bookmarkStart w:name="ss_T44C117N520S5_lv2_2c726f808" w:id="31"/>
      <w:r>
        <w:t>(</w:t>
      </w:r>
      <w:bookmarkEnd w:id="31"/>
      <w:r>
        <w:t xml:space="preserve">5) require a billing modifier to indicate that the drug or claim is a 340B drug‑pricing claim unless the drug or claim is being billed to the fee‑for‑service </w:t>
      </w:r>
      <w:r w:rsidR="00481D5B">
        <w:t>South Carolina</w:t>
      </w:r>
      <w:r>
        <w:t xml:space="preserve"> Medicaid </w:t>
      </w:r>
      <w:proofErr w:type="gramStart"/>
      <w:r>
        <w:t>Program;</w:t>
      </w:r>
      <w:proofErr w:type="gramEnd"/>
    </w:p>
    <w:p w:rsidR="003561E3" w:rsidP="003561E3" w:rsidRDefault="003561E3" w14:paraId="50A639F6" w14:textId="026BC26F">
      <w:pPr>
        <w:pStyle w:val="scnewcodesection"/>
      </w:pPr>
      <w:r>
        <w:tab/>
      </w:r>
      <w:r>
        <w:tab/>
      </w:r>
      <w:bookmarkStart w:name="ss_T44C117N520S6_lv2_4af3640bc" w:id="32"/>
      <w:r>
        <w:t>(</w:t>
      </w:r>
      <w:bookmarkEnd w:id="32"/>
      <w:r>
        <w:t xml:space="preserve">6) modify a patient’s copayment on the basis of a pharmacy’s participation in 340B drug </w:t>
      </w:r>
      <w:proofErr w:type="gramStart"/>
      <w:r>
        <w:t>pricing;</w:t>
      </w:r>
      <w:proofErr w:type="gramEnd"/>
    </w:p>
    <w:p w:rsidR="003561E3" w:rsidP="003561E3" w:rsidRDefault="003561E3" w14:paraId="714D233F" w14:textId="5EF3FB75">
      <w:pPr>
        <w:pStyle w:val="scnewcodesection"/>
      </w:pPr>
      <w:r>
        <w:tab/>
      </w:r>
      <w:r>
        <w:tab/>
      </w:r>
      <w:bookmarkStart w:name="ss_T44C117N520S7_lv2_3d34d2ff4" w:id="33"/>
      <w:r>
        <w:t>(</w:t>
      </w:r>
      <w:bookmarkEnd w:id="33"/>
      <w:r>
        <w:t xml:space="preserve">7) exclude a pharmacy from a network on the basis of the pharmacy's participation in 340B drug </w:t>
      </w:r>
      <w:proofErr w:type="gramStart"/>
      <w:r>
        <w:t>pricing;</w:t>
      </w:r>
      <w:proofErr w:type="gramEnd"/>
    </w:p>
    <w:p w:rsidR="003561E3" w:rsidP="003561E3" w:rsidRDefault="003561E3" w14:paraId="4C64CC1A" w14:textId="6D020B14">
      <w:pPr>
        <w:pStyle w:val="scnewcodesection"/>
      </w:pPr>
      <w:r>
        <w:tab/>
      </w:r>
      <w:r>
        <w:tab/>
      </w:r>
      <w:bookmarkStart w:name="ss_T44C117N520S8_lv2_e75d28945" w:id="34"/>
      <w:r>
        <w:t>(</w:t>
      </w:r>
      <w:bookmarkEnd w:id="34"/>
      <w:r>
        <w:t>8) establish or set network adequacy requirements based on 340B drug pricing participation by a provider or a pharmacy; or</w:t>
      </w:r>
    </w:p>
    <w:p w:rsidR="003561E3" w:rsidP="003561E3" w:rsidRDefault="003561E3" w14:paraId="4A900220" w14:textId="78DA1A13">
      <w:pPr>
        <w:pStyle w:val="scnewcodesection"/>
      </w:pPr>
      <w:r>
        <w:tab/>
      </w:r>
      <w:r>
        <w:tab/>
      </w:r>
      <w:bookmarkStart w:name="ss_T44C117N520S9_lv2_cf4993e38" w:id="35"/>
      <w:r>
        <w:t>(</w:t>
      </w:r>
      <w:bookmarkEnd w:id="35"/>
      <w:r>
        <w:t xml:space="preserve">9) prohibit an entity authorized to participate in 340B drug pricing or a pharmacy under contract with an entity authorized to participate in 340B drug pricing from participating in the third party's provider network </w:t>
      </w:r>
      <w:proofErr w:type="gramStart"/>
      <w:r>
        <w:t>on the basis of</w:t>
      </w:r>
      <w:proofErr w:type="gramEnd"/>
      <w:r>
        <w:t xml:space="preserve"> participation in 340B drug pricing.</w:t>
      </w:r>
    </w:p>
    <w:p w:rsidR="003561E3" w:rsidP="003561E3" w:rsidRDefault="003561E3" w14:paraId="1C501C1D" w14:textId="6819876C">
      <w:pPr>
        <w:pStyle w:val="scnewcodesection"/>
      </w:pPr>
      <w:r>
        <w:tab/>
      </w:r>
      <w:bookmarkStart w:name="ss_T44C117N520SC_lv1_41be8220e" w:id="36"/>
      <w:r>
        <w:t>(</w:t>
      </w:r>
      <w:bookmarkEnd w:id="36"/>
      <w:r>
        <w:t xml:space="preserve">C) A third party that is a pharmacy benefits manager shall not base the drug formulary or drug coverage decisions upon the 340B drug‑pricing status of a drug, including price or availability, or </w:t>
      </w:r>
      <w:r>
        <w:lastRenderedPageBreak/>
        <w:t>whether a dispensing pharmacy participates in 340B drug pricing.</w:t>
      </w:r>
    </w:p>
    <w:p w:rsidR="00D64B6D" w:rsidP="003561E3" w:rsidRDefault="00D64B6D" w14:paraId="70F0BFF7" w14:textId="7B297E60">
      <w:pPr>
        <w:pStyle w:val="scnewcodesection"/>
      </w:pPr>
      <w:r>
        <w:tab/>
      </w:r>
      <w:bookmarkStart w:name="ss_T44C117N520SD_lv1_84b88cb5a" w:id="37"/>
      <w:r>
        <w:t>(</w:t>
      </w:r>
      <w:bookmarkEnd w:id="37"/>
      <w:r>
        <w:t xml:space="preserve">D) </w:t>
      </w:r>
      <w:r w:rsidRPr="00D64B6D">
        <w:t>A pharmaceutical manufacturer shall not:</w:t>
      </w:r>
    </w:p>
    <w:p w:rsidR="003561E3" w:rsidP="003561E3" w:rsidRDefault="003561E3" w14:paraId="619B49D5" w14:textId="02F9A92D">
      <w:pPr>
        <w:pStyle w:val="scnewcodesection"/>
      </w:pPr>
      <w:r>
        <w:tab/>
      </w:r>
      <w:r>
        <w:tab/>
      </w:r>
      <w:bookmarkStart w:name="ss_T44C117N520S1_lv2_c814c11b5" w:id="38"/>
      <w:r>
        <w:t>(</w:t>
      </w:r>
      <w:bookmarkEnd w:id="38"/>
      <w:r>
        <w:t xml:space="preserve">1) </w:t>
      </w:r>
      <w:r w:rsidR="00D64B6D">
        <w:t>p</w:t>
      </w:r>
      <w:r>
        <w:t>rohibit a pharmacy from contracting or participating with an entity authorized to participate in 340B drug pricing by denying access to drugs that are manufactured by the pharmaceutical manufacturer; or</w:t>
      </w:r>
    </w:p>
    <w:p w:rsidR="003561E3" w:rsidP="003561E3" w:rsidRDefault="003561E3" w14:paraId="304DCBEB" w14:textId="1C539026">
      <w:pPr>
        <w:pStyle w:val="scnewcodesection"/>
      </w:pPr>
      <w:r>
        <w:tab/>
      </w:r>
      <w:r>
        <w:tab/>
      </w:r>
      <w:bookmarkStart w:name="ss_T44C117N520S2_lv2_2bcd0d3c1" w:id="39"/>
      <w:r>
        <w:t>(</w:t>
      </w:r>
      <w:bookmarkEnd w:id="39"/>
      <w:r>
        <w:t xml:space="preserve">2) </w:t>
      </w:r>
      <w:r w:rsidR="00D64B6D">
        <w:t>d</w:t>
      </w:r>
      <w:r>
        <w:t>eny or prohibit 340B drug pricing for a</w:t>
      </w:r>
      <w:r w:rsidR="00BE1655">
        <w:t xml:space="preserve"> </w:t>
      </w:r>
      <w:r>
        <w:t>community pharmacy that receives drugs purchased under a 340B drug pricing</w:t>
      </w:r>
      <w:r w:rsidR="00BE1655">
        <w:t>.</w:t>
      </w:r>
    </w:p>
    <w:p w:rsidR="009308F4" w:rsidP="009308F4" w:rsidRDefault="009308F4" w14:paraId="7AA9C9E8" w14:textId="77777777">
      <w:pPr>
        <w:pStyle w:val="scnewcodesection"/>
      </w:pPr>
    </w:p>
    <w:p w:rsidR="009308F4" w:rsidP="00BE1655" w:rsidRDefault="009308F4" w14:paraId="730EC122" w14:textId="18617D61">
      <w:pPr>
        <w:pStyle w:val="scnewcodesection"/>
      </w:pPr>
      <w:r>
        <w:tab/>
      </w:r>
      <w:bookmarkStart w:name="ns_T44C117N530_b5127b2b6" w:id="40"/>
      <w:r>
        <w:t>S</w:t>
      </w:r>
      <w:bookmarkEnd w:id="40"/>
      <w:r>
        <w:t>ection 44‑117‑530.</w:t>
      </w:r>
      <w:r>
        <w:tab/>
      </w:r>
      <w:r w:rsidR="00BE1655">
        <w:t>All pharmacy claims processed by a pharmacy that participates in 340B drug pricing are final at the point of adjudication.</w:t>
      </w:r>
    </w:p>
    <w:p w:rsidR="009308F4" w:rsidP="009308F4" w:rsidRDefault="009308F4" w14:paraId="5968C4FE" w14:textId="77777777">
      <w:pPr>
        <w:pStyle w:val="scnewcodesection"/>
      </w:pPr>
    </w:p>
    <w:p w:rsidR="006F0123" w:rsidP="009308F4" w:rsidRDefault="009308F4" w14:paraId="5B1ADD68" w14:textId="4E611AD7">
      <w:pPr>
        <w:pStyle w:val="scnewcodesection"/>
      </w:pPr>
      <w:r>
        <w:tab/>
      </w:r>
      <w:bookmarkStart w:name="ns_T44C117N540_a201c46f1" w:id="41"/>
      <w:r>
        <w:t>S</w:t>
      </w:r>
      <w:bookmarkEnd w:id="41"/>
      <w:r>
        <w:t>ection 44‑117‑540.</w:t>
      </w:r>
      <w:r>
        <w:tab/>
      </w:r>
      <w:r w:rsidRPr="00BE1655" w:rsidR="00BE1655">
        <w:t xml:space="preserve">The </w:t>
      </w:r>
      <w:r w:rsidR="007F4FEA">
        <w:t xml:space="preserve">Chief </w:t>
      </w:r>
      <w:r w:rsidR="00BE1655">
        <w:t>Insurance Commissioner</w:t>
      </w:r>
      <w:r w:rsidRPr="00BE1655" w:rsidR="00BE1655">
        <w:t xml:space="preserve"> </w:t>
      </w:r>
      <w:r w:rsidR="00BE1655">
        <w:t>may</w:t>
      </w:r>
      <w:r w:rsidRPr="00BE1655" w:rsidR="00BE1655">
        <w:t xml:space="preserve"> promulgate rules to implement the provisions of this chapter.</w:t>
      </w:r>
    </w:p>
    <w:p w:rsidRPr="00DF3B44" w:rsidR="007E06BB" w:rsidP="00787433" w:rsidRDefault="007E06BB" w14:paraId="3D8F1FED" w14:textId="50D01DF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2"/>
      <w:bookmarkStart w:name="eff_date_section" w:id="43"/>
      <w:r w:rsidRPr="00DF3B44">
        <w:t>S</w:t>
      </w:r>
      <w:bookmarkEnd w:id="4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50D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35EF" w14:textId="77777777" w:rsidR="00960761" w:rsidRDefault="00960761" w:rsidP="0010329A">
      <w:pPr>
        <w:spacing w:after="0" w:line="240" w:lineRule="auto"/>
      </w:pPr>
      <w:r>
        <w:separator/>
      </w:r>
    </w:p>
    <w:p w14:paraId="3C5E0909" w14:textId="77777777" w:rsidR="00960761" w:rsidRDefault="00960761"/>
  </w:endnote>
  <w:endnote w:type="continuationSeparator" w:id="0">
    <w:p w14:paraId="143A1C5D" w14:textId="77777777" w:rsidR="00960761" w:rsidRDefault="00960761" w:rsidP="0010329A">
      <w:pPr>
        <w:spacing w:after="0" w:line="240" w:lineRule="auto"/>
      </w:pPr>
      <w:r>
        <w:continuationSeparator/>
      </w:r>
    </w:p>
    <w:p w14:paraId="145EDF73" w14:textId="77777777" w:rsidR="00960761" w:rsidRDefault="00960761"/>
  </w:endnote>
  <w:endnote w:type="continuationNotice" w:id="1">
    <w:p w14:paraId="50B017DD" w14:textId="77777777" w:rsidR="00960761" w:rsidRDefault="00960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951C0B" w:rsidR="00685035" w:rsidRPr="007B4AF7" w:rsidRDefault="00F42A9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52B2F">
              <w:t>[1239]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2B2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40E3" w14:textId="77777777" w:rsidR="00960761" w:rsidRDefault="00960761" w:rsidP="0010329A">
      <w:pPr>
        <w:spacing w:after="0" w:line="240" w:lineRule="auto"/>
      </w:pPr>
      <w:r>
        <w:separator/>
      </w:r>
    </w:p>
    <w:p w14:paraId="56830F18" w14:textId="77777777" w:rsidR="00960761" w:rsidRDefault="00960761"/>
  </w:footnote>
  <w:footnote w:type="continuationSeparator" w:id="0">
    <w:p w14:paraId="4082F650" w14:textId="77777777" w:rsidR="00960761" w:rsidRDefault="00960761" w:rsidP="0010329A">
      <w:pPr>
        <w:spacing w:after="0" w:line="240" w:lineRule="auto"/>
      </w:pPr>
      <w:r>
        <w:continuationSeparator/>
      </w:r>
    </w:p>
    <w:p w14:paraId="7B302A1C" w14:textId="77777777" w:rsidR="00960761" w:rsidRDefault="00960761"/>
  </w:footnote>
  <w:footnote w:type="continuationNotice" w:id="1">
    <w:p w14:paraId="197A1124" w14:textId="77777777" w:rsidR="00960761" w:rsidRDefault="009607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CF2"/>
    <w:rsid w:val="00011182"/>
    <w:rsid w:val="00012912"/>
    <w:rsid w:val="00017FB0"/>
    <w:rsid w:val="00020B5D"/>
    <w:rsid w:val="00026421"/>
    <w:rsid w:val="00030409"/>
    <w:rsid w:val="00031225"/>
    <w:rsid w:val="00037F04"/>
    <w:rsid w:val="000404BF"/>
    <w:rsid w:val="00044B84"/>
    <w:rsid w:val="000479D0"/>
    <w:rsid w:val="0006464F"/>
    <w:rsid w:val="00066B54"/>
    <w:rsid w:val="00072B24"/>
    <w:rsid w:val="00072FCD"/>
    <w:rsid w:val="00074A4F"/>
    <w:rsid w:val="00077B65"/>
    <w:rsid w:val="00085E7F"/>
    <w:rsid w:val="0009642C"/>
    <w:rsid w:val="000A3C25"/>
    <w:rsid w:val="000B4C02"/>
    <w:rsid w:val="000B551E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1472"/>
    <w:rsid w:val="001502E9"/>
    <w:rsid w:val="00171601"/>
    <w:rsid w:val="001730EB"/>
    <w:rsid w:val="00173276"/>
    <w:rsid w:val="0019025B"/>
    <w:rsid w:val="00190AA6"/>
    <w:rsid w:val="00192AF7"/>
    <w:rsid w:val="00197366"/>
    <w:rsid w:val="001A136C"/>
    <w:rsid w:val="001B22C9"/>
    <w:rsid w:val="001B4484"/>
    <w:rsid w:val="001B6DA2"/>
    <w:rsid w:val="001C25EC"/>
    <w:rsid w:val="001D04DA"/>
    <w:rsid w:val="001D2837"/>
    <w:rsid w:val="001F1FF8"/>
    <w:rsid w:val="001F2A41"/>
    <w:rsid w:val="001F313F"/>
    <w:rsid w:val="001F331D"/>
    <w:rsid w:val="001F394C"/>
    <w:rsid w:val="00200A75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21AE"/>
    <w:rsid w:val="00275AE6"/>
    <w:rsid w:val="002836D8"/>
    <w:rsid w:val="002845F3"/>
    <w:rsid w:val="00294E22"/>
    <w:rsid w:val="002A7989"/>
    <w:rsid w:val="002B02F3"/>
    <w:rsid w:val="002B5D57"/>
    <w:rsid w:val="002C3463"/>
    <w:rsid w:val="002D266D"/>
    <w:rsid w:val="002D3B50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561E3"/>
    <w:rsid w:val="00361563"/>
    <w:rsid w:val="00371D36"/>
    <w:rsid w:val="00373E17"/>
    <w:rsid w:val="003775E6"/>
    <w:rsid w:val="00381998"/>
    <w:rsid w:val="003A3170"/>
    <w:rsid w:val="003A5DE8"/>
    <w:rsid w:val="003A5F1C"/>
    <w:rsid w:val="003B4F0D"/>
    <w:rsid w:val="003C3E2E"/>
    <w:rsid w:val="003D30A0"/>
    <w:rsid w:val="003D489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1D5B"/>
    <w:rsid w:val="004851A0"/>
    <w:rsid w:val="0048627F"/>
    <w:rsid w:val="004932AB"/>
    <w:rsid w:val="00494BEF"/>
    <w:rsid w:val="004A5512"/>
    <w:rsid w:val="004A6BE5"/>
    <w:rsid w:val="004B059C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0EC"/>
    <w:rsid w:val="0054531B"/>
    <w:rsid w:val="00546C24"/>
    <w:rsid w:val="005476FF"/>
    <w:rsid w:val="005516F6"/>
    <w:rsid w:val="00552842"/>
    <w:rsid w:val="00554E89"/>
    <w:rsid w:val="00564B58"/>
    <w:rsid w:val="00572281"/>
    <w:rsid w:val="00577C8C"/>
    <w:rsid w:val="005801DD"/>
    <w:rsid w:val="00580C5C"/>
    <w:rsid w:val="00587E9C"/>
    <w:rsid w:val="00592A40"/>
    <w:rsid w:val="00593A3B"/>
    <w:rsid w:val="005A28BC"/>
    <w:rsid w:val="005A5377"/>
    <w:rsid w:val="005B7817"/>
    <w:rsid w:val="005C06C8"/>
    <w:rsid w:val="005C23D7"/>
    <w:rsid w:val="005C40EB"/>
    <w:rsid w:val="005D02B4"/>
    <w:rsid w:val="005D12C2"/>
    <w:rsid w:val="005D3013"/>
    <w:rsid w:val="005E1E50"/>
    <w:rsid w:val="005E2B9C"/>
    <w:rsid w:val="005E3332"/>
    <w:rsid w:val="005F2665"/>
    <w:rsid w:val="005F76B0"/>
    <w:rsid w:val="00604429"/>
    <w:rsid w:val="006067B0"/>
    <w:rsid w:val="00606A8B"/>
    <w:rsid w:val="00611EBA"/>
    <w:rsid w:val="006213A8"/>
    <w:rsid w:val="00623BEA"/>
    <w:rsid w:val="006347E9"/>
    <w:rsid w:val="006348F3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34AE"/>
    <w:rsid w:val="006964F9"/>
    <w:rsid w:val="006A395F"/>
    <w:rsid w:val="006A65E2"/>
    <w:rsid w:val="006B37BD"/>
    <w:rsid w:val="006B6C73"/>
    <w:rsid w:val="006C092D"/>
    <w:rsid w:val="006C099D"/>
    <w:rsid w:val="006C18F0"/>
    <w:rsid w:val="006C7E01"/>
    <w:rsid w:val="006D64A5"/>
    <w:rsid w:val="006E0935"/>
    <w:rsid w:val="006E353F"/>
    <w:rsid w:val="006E35AB"/>
    <w:rsid w:val="006F0123"/>
    <w:rsid w:val="006F596A"/>
    <w:rsid w:val="00701515"/>
    <w:rsid w:val="00711AA9"/>
    <w:rsid w:val="00714012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4BE2"/>
    <w:rsid w:val="007C5458"/>
    <w:rsid w:val="007D2C67"/>
    <w:rsid w:val="007E06BB"/>
    <w:rsid w:val="007F4FEA"/>
    <w:rsid w:val="007F50D1"/>
    <w:rsid w:val="00816D52"/>
    <w:rsid w:val="00831048"/>
    <w:rsid w:val="00834272"/>
    <w:rsid w:val="008625C1"/>
    <w:rsid w:val="00864E74"/>
    <w:rsid w:val="0087671D"/>
    <w:rsid w:val="008806F9"/>
    <w:rsid w:val="00887957"/>
    <w:rsid w:val="008A57E3"/>
    <w:rsid w:val="008B5BF4"/>
    <w:rsid w:val="008C0CEE"/>
    <w:rsid w:val="008C1B18"/>
    <w:rsid w:val="008C72D7"/>
    <w:rsid w:val="008D46EC"/>
    <w:rsid w:val="008E0E25"/>
    <w:rsid w:val="008E61A1"/>
    <w:rsid w:val="008F6485"/>
    <w:rsid w:val="008F69E1"/>
    <w:rsid w:val="00917EA3"/>
    <w:rsid w:val="00917EE0"/>
    <w:rsid w:val="00921C89"/>
    <w:rsid w:val="00926966"/>
    <w:rsid w:val="00926D03"/>
    <w:rsid w:val="009308F4"/>
    <w:rsid w:val="00934036"/>
    <w:rsid w:val="00934889"/>
    <w:rsid w:val="0094541D"/>
    <w:rsid w:val="009473EA"/>
    <w:rsid w:val="009523AE"/>
    <w:rsid w:val="00954E7E"/>
    <w:rsid w:val="009554D9"/>
    <w:rsid w:val="009572F9"/>
    <w:rsid w:val="00960761"/>
    <w:rsid w:val="00960D0F"/>
    <w:rsid w:val="00972F4A"/>
    <w:rsid w:val="00977DE0"/>
    <w:rsid w:val="0098209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0A3A"/>
    <w:rsid w:val="00AD3B6C"/>
    <w:rsid w:val="00AD3BE2"/>
    <w:rsid w:val="00AD3E3D"/>
    <w:rsid w:val="00AE1EE4"/>
    <w:rsid w:val="00AE36EC"/>
    <w:rsid w:val="00AE7406"/>
    <w:rsid w:val="00AF1688"/>
    <w:rsid w:val="00AF46E6"/>
    <w:rsid w:val="00AF5139"/>
    <w:rsid w:val="00B06634"/>
    <w:rsid w:val="00B06EDA"/>
    <w:rsid w:val="00B1161F"/>
    <w:rsid w:val="00B11661"/>
    <w:rsid w:val="00B14358"/>
    <w:rsid w:val="00B32B4D"/>
    <w:rsid w:val="00B4137E"/>
    <w:rsid w:val="00B50D34"/>
    <w:rsid w:val="00B52740"/>
    <w:rsid w:val="00B52E1C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2D29"/>
    <w:rsid w:val="00BB0725"/>
    <w:rsid w:val="00BC408A"/>
    <w:rsid w:val="00BC5023"/>
    <w:rsid w:val="00BC556C"/>
    <w:rsid w:val="00BD42DA"/>
    <w:rsid w:val="00BD4684"/>
    <w:rsid w:val="00BE08A7"/>
    <w:rsid w:val="00BE1655"/>
    <w:rsid w:val="00BE1B47"/>
    <w:rsid w:val="00BE4391"/>
    <w:rsid w:val="00BF3E48"/>
    <w:rsid w:val="00C125A8"/>
    <w:rsid w:val="00C15F1B"/>
    <w:rsid w:val="00C16288"/>
    <w:rsid w:val="00C1694D"/>
    <w:rsid w:val="00C17D1D"/>
    <w:rsid w:val="00C23A07"/>
    <w:rsid w:val="00C45923"/>
    <w:rsid w:val="00C543E7"/>
    <w:rsid w:val="00C56A28"/>
    <w:rsid w:val="00C70225"/>
    <w:rsid w:val="00C72198"/>
    <w:rsid w:val="00C73C7D"/>
    <w:rsid w:val="00C75005"/>
    <w:rsid w:val="00C970DF"/>
    <w:rsid w:val="00CA58E3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3F7E"/>
    <w:rsid w:val="00D14995"/>
    <w:rsid w:val="00D204F2"/>
    <w:rsid w:val="00D2455C"/>
    <w:rsid w:val="00D25023"/>
    <w:rsid w:val="00D27F8C"/>
    <w:rsid w:val="00D33843"/>
    <w:rsid w:val="00D437A9"/>
    <w:rsid w:val="00D47481"/>
    <w:rsid w:val="00D52BFD"/>
    <w:rsid w:val="00D54A6F"/>
    <w:rsid w:val="00D57D57"/>
    <w:rsid w:val="00D62E42"/>
    <w:rsid w:val="00D64B6D"/>
    <w:rsid w:val="00D772FB"/>
    <w:rsid w:val="00D85518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2B2F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4F01"/>
    <w:rsid w:val="00F36FBA"/>
    <w:rsid w:val="00F42A92"/>
    <w:rsid w:val="00F44D36"/>
    <w:rsid w:val="00F46262"/>
    <w:rsid w:val="00F4795D"/>
    <w:rsid w:val="00F50A61"/>
    <w:rsid w:val="00F525CD"/>
    <w:rsid w:val="00F526BD"/>
    <w:rsid w:val="00F5286C"/>
    <w:rsid w:val="00F52E12"/>
    <w:rsid w:val="00F638CA"/>
    <w:rsid w:val="00F64F9E"/>
    <w:rsid w:val="00F6544D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C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450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50EC"/>
  </w:style>
  <w:style w:type="character" w:styleId="LineNumber">
    <w:name w:val="line number"/>
    <w:uiPriority w:val="99"/>
    <w:semiHidden/>
    <w:unhideWhenUsed/>
    <w:rsid w:val="005450E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450EC"/>
    <w:pPr>
      <w:spacing w:after="0" w:line="240" w:lineRule="auto"/>
    </w:pPr>
  </w:style>
  <w:style w:type="paragraph" w:customStyle="1" w:styleId="scemptylineheader">
    <w:name w:val="sc_emptyline_header"/>
    <w:qFormat/>
    <w:rsid w:val="005450E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450E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450E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450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450EC"/>
    <w:rPr>
      <w:color w:val="808080"/>
    </w:rPr>
  </w:style>
  <w:style w:type="paragraph" w:customStyle="1" w:styleId="scdirectionallanguage">
    <w:name w:val="sc_directional_language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450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450E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450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450E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450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450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450E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450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450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450E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450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450E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450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0E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0EC"/>
    <w:rPr>
      <w:lang w:val="en-US"/>
    </w:rPr>
  </w:style>
  <w:style w:type="paragraph" w:styleId="ListParagraph">
    <w:name w:val="List Paragraph"/>
    <w:basedOn w:val="Normal"/>
    <w:uiPriority w:val="34"/>
    <w:qFormat/>
    <w:rsid w:val="005450EC"/>
    <w:pPr>
      <w:ind w:left="720"/>
      <w:contextualSpacing/>
    </w:pPr>
  </w:style>
  <w:style w:type="paragraph" w:customStyle="1" w:styleId="scbillfooter">
    <w:name w:val="sc_bill_footer"/>
    <w:qFormat/>
    <w:rsid w:val="005450E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4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450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450E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450E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450E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450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450E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450E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450E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450EC"/>
    <w:rPr>
      <w:strike/>
      <w:dstrike w:val="0"/>
    </w:rPr>
  </w:style>
  <w:style w:type="character" w:customStyle="1" w:styleId="scinsert">
    <w:name w:val="sc_insert"/>
    <w:uiPriority w:val="1"/>
    <w:qFormat/>
    <w:rsid w:val="005450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450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450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450E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450E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450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450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450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50EC"/>
    <w:rPr>
      <w:strike/>
      <w:dstrike w:val="0"/>
      <w:color w:val="FF0000"/>
    </w:rPr>
  </w:style>
  <w:style w:type="paragraph" w:customStyle="1" w:styleId="scbillsiglines">
    <w:name w:val="sc_bill_sig_lines"/>
    <w:qFormat/>
    <w:rsid w:val="005450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450E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450E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450E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450E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450E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450E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450E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85518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239&amp;session=125&amp;summary=B" TargetMode="External" Id="Rb48ba722bfe44f43" /><Relationship Type="http://schemas.openxmlformats.org/officeDocument/2006/relationships/hyperlink" Target="https://www.scstatehouse.gov/sess125_2023-2024/prever/1239_20240404.docx" TargetMode="External" Id="R609ec8b533d740ad" /><Relationship Type="http://schemas.openxmlformats.org/officeDocument/2006/relationships/hyperlink" Target="h:\sj\20240404.docx" TargetMode="External" Id="Re68d6675751749b5" /><Relationship Type="http://schemas.openxmlformats.org/officeDocument/2006/relationships/hyperlink" Target="h:\sj\20240404.docx" TargetMode="External" Id="Re660cebc4df243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228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e7214c60-8f15-4479-9e4b-9778244ffdb0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2024-04-04T00:00:00-04:00</T_BILL_DT_VERSION>
  <T_BILL_D_INTRODATE>2024-04-04</T_BILL_D_INTRODATE>
  <T_BILL_D_SENATEINTRODATE>2024-04-04</T_BILL_D_SENATEINTRODATE>
  <T_BILL_N_INTERNALVERSIONNUMBER>1</T_BILL_N_INTERNALVERSIONNUMBER>
  <T_BILL_N_SESSION>125</T_BILL_N_SESSION>
  <T_BILL_N_VERSIONNUMBER>1</T_BILL_N_VERSIONNUMBER>
  <T_BILL_N_YEAR>2024</T_BILL_N_YEAR>
  <T_BILL_REQUEST_REQUEST>5684dbf5-e97a-4926-9994-03520b5f32c7</T_BILL_REQUEST_REQUEST>
  <T_BILL_R_ORIGINALDRAFT>69b7381f-cac8-4e65-acc4-49076f4fa535</T_BILL_R_ORIGINALDRAFT>
  <T_BILL_SPONSOR_SPONSOR>d399679c-9f05-4a49-a39a-1729705a4634</T_BILL_SPONSOR_SPONSOR>
  <T_BILL_T_BILLNAME>[1239]</T_BILL_T_BILLNAME>
  <T_BILL_T_BILLNUMBER>1239</T_BILL_T_BILLNUMBER>
  <T_BILL_T_BILLTITLE>TO AMEND THE SOUTH CAROLINA CODE OF LAWS BY ADDING SECTION 44‑117‑510 SO AS TO PROVIDE DEFINITIONS FOR PATIENT, THIRD PARTY, AND 340B DRUG PRICING; BY ADDING SECTION 44‑117‑520 SO AS TO PROVIDE THAT A THIRD PARTY SHALL INFORM A PATIENT THAT HE IS NOT REQUIRED TO USE A MAIL‑ORDER PHARMACY, SHALL OBTAIN A SIGNED WAIVER FROM A PATIENT BEFORE ALLOWING THE USE OF A MAIL‑ORDER PHARMACY, SHALL MAKE DRUG FORMULARY AND COVERAGE DECISIONS BASED ON THE THIRD PARTY’S NORMAL COURSE OF BUSINESS, SHALL ALLOW A PATIENT THE FREEDOM TO USE ANY PHARMACY OR ANY PROVIDER THE PATIENT CHOOSES, AND SHALL ELIMINATE DISCRIMINATORY CONTRACTING; BY ADDING SECTION 44‑117‑530 SO AS TO PROVIDE THAT ALL PHARMACY CLAIMS PROCESSED BY A PHARMACY THAT PARTICIPATES IN 340B DRUG PRICING ARE FINAL AT THE POINT OF ADJUDICATION; BY ADDING SECTION 44‑117‑540 SO AS TO PROVIDE THAT THE INSURANCE COMMISSIONER MAY PROMULGATE RULES TO IMPLEMENT THE PROVISIONS OF THIS CHAPTER.</T_BILL_T_BILLTITLE>
  <T_BILL_T_CHAMBER>senate</T_BILL_T_CHAMBER>
  <T_BILL_T_FILENAME> </T_BILL_T_FILENAME>
  <T_BILL_T_LEGTYPE>bill_statewide</T_BILL_T_LEGTYPE>
  <T_BILL_T_SECTIONS>[{"CodeSections":[{"CodeSectionBookmarkName":"ns_T44C117N510_4059b420c","Deleted":false,"Identity":"44-117-510","IsConstitutionSection":false,"IsNew":true,"SubSections":[{"Identity":"T44C117N510S1","IsNewSubSection":false,"Level":1,"SubSectionBookmarkName":"ss_T44C117N510S1_lv1_aee2297e5","SubSectionReplacement":""},{"Identity":"T44C117N510S2","IsNewSubSection":false,"Level":1,"SubSectionBookmarkName":"ss_T44C117N510S2_lv1_4de0b4788","SubSectionReplacement":""},{"Identity":"T44C117N510Sa","IsNewSubSection":false,"Level":2,"SubSectionBookmarkName":"ss_T44C117N510Sa_lv2_56824677f","SubSectionReplacement":""},{"Identity":"T44C117N510Sb","IsNewSubSection":false,"Level":2,"SubSectionBookmarkName":"ss_T44C117N510Sb_lv2_9087c6739","SubSectionReplacement":""},{"Identity":"T44C117N510S3","IsNewSubSection":false,"Level":1,"SubSectionBookmarkName":"ss_T44C117N510S3_lv1_9a452b766","SubSectionReplacement":""}],"TitleRelatedTo":"","TitleSoAsTo":"provide definitions for patient, third party, and 340B drug pricing"},{"CodeSectionBookmarkName":"ns_T44C117N520_62431eb99","Deleted":false,"Identity":"44-117-520","IsConstitutionSection":false,"IsNew":true,"SubSections":[{"Identity":"T44C117N520SA","IsNewSubSection":false,"Level":1,"SubSectionBookmarkName":"ss_T44C117N520SA_lv1_0fd661429","SubSectionReplacement":""},{"Identity":"T44C117N520S1","IsNewSubSection":false,"Level":2,"SubSectionBookmarkName":"ss_T44C117N520S1_lv2_f137e0643","SubSectionReplacement":""},{"Identity":"T44C117N520S2","IsNewSubSection":false,"Level":2,"SubSectionBookmarkName":"ss_T44C117N520S2_lv2_116012b2e","SubSectionReplacement":""},{"Identity":"T44C117N520S3","IsNewSubSection":false,"Level":2,"SubSectionBookmarkName":"ss_T44C117N520S3_lv2_8756ef69","SubSectionReplacement":""},{"Identity":"T44C117N520S4","IsNewSubSection":false,"Level":2,"SubSectionBookmarkName":"ss_T44C117N520S4_lv2_ac5ecd7c","SubSectionReplacement":""},{"Identity":"T44C117N520S5","IsNewSubSection":false,"Level":2,"SubSectionBookmarkName":"ss_T44C117N520S5_lv2_96b6a471f","SubSectionReplacement":""},{"Identity":"T44C117N520Sa","IsNewSubSection":false,"Level":3,"SubSectionBookmarkName":"ss_T44C117N520Sa_lv3_011fb345","SubSectionReplacement":""},{"Identity":"T44C117N520Sb","IsNewSubSection":false,"Level":3,"SubSectionBookmarkName":"ss_T44C117N520Sb_lv3_f3ee0be26","SubSectionReplacement":""},{"Identity":"T44C117N520Sc","IsNewSubSection":false,"Level":3,"SubSectionBookmarkName":"ss_T44C117N520Sc_lv3_0457f79e8","SubSectionReplacement":""},{"Identity":"T44C117N520Sd","IsNewSubSection":false,"Level":3,"SubSectionBookmarkName":"ss_T44C117N520Sd_lv3_9db0a68dc","SubSectionReplacement":""},{"Identity":"T44C117N520Se","IsNewSubSection":false,"Level":3,"SubSectionBookmarkName":"ss_T44C117N520Se_lv3_865ed5c11","SubSectionReplacement":""},{"Identity":"T44C117N520SB","IsNewSubSection":false,"Level":1,"SubSectionBookmarkName":"ss_T44C117N520SB_lv1_44001e33","SubSectionReplacement":""},{"Identity":"T44C117N520S1","IsNewSubSection":false,"Level":2,"SubSectionBookmarkName":"ss_T44C117N520S1_lv2_d83db42a7","SubSectionReplacement":""},{"Identity":"T44C117N520S2","IsNewSubSection":false,"Level":2,"SubSectionBookmarkName":"ss_T44C117N520S2_lv2_11a1a0202","SubSectionReplacement":""},{"Identity":"T44C117N520S3","IsNewSubSection":false,"Level":2,"SubSectionBookmarkName":"ss_T44C117N520S3_lv2_ce8b6710c","SubSectionReplacement":""},{"Identity":"T44C117N520S4","IsNewSubSection":false,"Level":2,"SubSectionBookmarkName":"ss_T44C117N520S4_lv2_e585af0fd","SubSectionReplacement":""},{"Identity":"T44C117N520S5","IsNewSubSection":false,"Level":2,"SubSectionBookmarkName":"ss_T44C117N520S5_lv2_2c726f808","SubSectionReplacement":""},{"Identity":"T44C117N520S6","IsNewSubSection":false,"Level":2,"SubSectionBookmarkName":"ss_T44C117N520S6_lv2_4af3640bc","SubSectionReplacement":""},{"Identity":"T44C117N520S7","IsNewSubSection":false,"Level":2,"SubSectionBookmarkName":"ss_T44C117N520S7_lv2_3d34d2ff4","SubSectionReplacement":""},{"Identity":"T44C117N520S8","IsNewSubSection":false,"Level":2,"SubSectionBookmarkName":"ss_T44C117N520S8_lv2_e75d28945","SubSectionReplacement":""},{"Identity":"T44C117N520S9","IsNewSubSection":false,"Level":2,"SubSectionBookmarkName":"ss_T44C117N520S9_lv2_cf4993e38","SubSectionReplacement":""},{"Identity":"T44C117N520SC","IsNewSubSection":false,"Level":1,"SubSectionBookmarkName":"ss_T44C117N520SC_lv1_41be8220e","SubSectionReplacement":""},{"Identity":"T44C117N520SD","IsNewSubSection":false,"Level":1,"SubSectionBookmarkName":"ss_T44C117N520SD_lv1_84b88cb5a","SubSectionReplacement":""},{"Identity":"T44C117N520S1","IsNewSubSection":false,"Level":2,"SubSectionBookmarkName":"ss_T44C117N520S1_lv2_c814c11b5","SubSectionReplacement":""},{"Identity":"T44C117N520S2","IsNewSubSection":false,"Level":2,"SubSectionBookmarkName":"ss_T44C117N520S2_lv2_2bcd0d3c1","SubSectionReplacement":""}],"TitleRelatedTo":"","TitleSoAsTo":"provide that a third party shall inform a patient that he is not required to use a mail-order pharmacy, shall obtain a signed waiver from a patient before allowing the use of a mail-order pharmacy, shall make drug formulary and coverage decisions based on the third party's normal course of business, shall allow a patient the freedom to use any pharmacy or any provider the patient chooses, and shall eliminate discriminatory contracting"},{"CodeSectionBookmarkName":"ns_T44C117N530_b5127b2b6","Deleted":false,"Identity":"44-117-530","IsConstitutionSection":false,"IsNew":true,"SubSections":[],"TitleRelatedTo":"","TitleSoAsTo":"provide that All pharmacy claims processed by a pharmacy that participates in 340B drug pricing are final at the point of adjudication"},{"CodeSectionBookmarkName":"ns_T44C117N540_a201c46f1","Deleted":false,"Identity":"44-117-540","IsConstitutionSection":false,"IsNew":true,"SubSections":[],"TitleRelatedTo":"","TitleSoAsTo":"provide that The Insurance Commissioner may promulgate rules to implement the provisions of this chapter"}],"Deleted":false,"DisableControls":false,"RepealItems":[],"SectionBookmarkName":"bs_num_1_26730995c","SectionName":"code_section","SectionNumber":1,"SectionType":"code_section","SectionUUID":"fa089f78-ab3b-40de-b11a-fb582c221fbb","TitleText":""},{"CodeSections":[],"Deleted":false,"DisableControls":false,"RepealItems":[],"SectionBookmarkName":"bs_num_2_lastsection","SectionName":"standard_eff_date_section","SectionNumber":2,"SectionType":"drafting_clause","SectionUUID":"8f03ca95-8faa-4d43-a9c2-8afc498075bd","TitleText":""}]</T_BILL_T_SECTIONS>
  <T_BILL_T_SUBJECT>Drug Pricing Nondiscrimination</T_BILL_T_SUBJECT>
  <T_BILL_UR_DRAFTER>kenmoffitt@scsenate.gov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4533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Melika Anderson</cp:lastModifiedBy>
  <cp:revision>4</cp:revision>
  <dcterms:created xsi:type="dcterms:W3CDTF">2024-04-09T15:06:00Z</dcterms:created>
  <dcterms:modified xsi:type="dcterms:W3CDTF">2024-04-09T15:07:00Z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