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SMIN-0017AA23.docx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Income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054cf16c10e4f38">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e19ad4706ccb4406">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330017536eb4a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48b2e207c242ac">
        <w:r>
          <w:rPr>
            <w:rStyle w:val="Hyperlink"/>
            <w:u w:val="single"/>
          </w:rPr>
          <w:t>11/30/2022</w:t>
        </w:r>
      </w:hyperlink>
      <w:r>
        <w:t xml:space="preserve"/>
      </w:r>
    </w:p>
    <w:p>
      <w:pPr>
        <w:widowControl w:val="true"/>
        <w:spacing w:after="0"/>
        <w:jc w:val="left"/>
      </w:pPr>
      <w:r>
        <w:rPr>
          <w:rFonts w:ascii="Times New Roman"/>
          <w:sz w:val="22"/>
        </w:rPr>
        <w:t xml:space="preserve"/>
      </w:r>
      <w:hyperlink r:id="R7ac2002f3380482b">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A47A2" w14:paraId="40FEFADA" w14:textId="4A7C7888">
          <w:pPr>
            <w:pStyle w:val="scbilltitle"/>
            <w:tabs>
              <w:tab w:val="left" w:pos="2104"/>
            </w:tabs>
          </w:pPr>
          <w:r>
            <w:t>TO AMEND THE CODE OF LAWS OF SOUTH CAROLINA BY ADDING SECTION 12-6-3785 SO AS TO ALLOW AN INDIVIDUAL TAXPAYER TO CLAIM AN INCOME TAX CREDIT IF THE INDIVIDUAL SERVES AS A CAREGIVER FOR A PERSON WHO IS AT LEAST SEVENTY-FIVE YEARS OF AGE, AND TO SET THE AMOUNT OF THE CREDIT.</w:t>
          </w:r>
        </w:p>
      </w:sdtContent>
    </w:sdt>
    <w:bookmarkStart w:name="at_b804ebcec" w:displacedByCustomXml="prev" w:id="0"/>
    <w:bookmarkEnd w:id="0"/>
    <w:p w:rsidRPr="00DF3B44" w:rsidR="006C18F0" w:rsidP="006C18F0" w:rsidRDefault="006C18F0" w14:paraId="5BAAC1B7" w14:textId="77777777">
      <w:pPr>
        <w:pStyle w:val="scbillwhereasclause"/>
      </w:pPr>
    </w:p>
    <w:p w:rsidR="00FA47A2" w:rsidP="00FA47A2" w:rsidRDefault="00FA47A2" w14:paraId="3ECDD2EE" w14:textId="77777777">
      <w:pPr>
        <w:pStyle w:val="scenactingwords"/>
      </w:pPr>
      <w:bookmarkStart w:name="ew_0bb6ad9a6" w:id="1"/>
      <w:r>
        <w:t>B</w:t>
      </w:r>
      <w:bookmarkEnd w:id="1"/>
      <w:r>
        <w:t>e it enacted by the General Assembly of the State of South Carolina:</w:t>
      </w:r>
    </w:p>
    <w:p w:rsidR="00FA47A2" w:rsidP="00FA47A2" w:rsidRDefault="00FA47A2" w14:paraId="7921CC80" w14:textId="77777777">
      <w:pPr>
        <w:pStyle w:val="scemptyline"/>
      </w:pPr>
    </w:p>
    <w:p w:rsidRPr="004762A7" w:rsidR="00FA47A2" w:rsidP="00FA47A2" w:rsidRDefault="00FA47A2" w14:paraId="20AF34C0" w14:textId="77777777">
      <w:pPr>
        <w:pStyle w:val="scdirectionallanguage"/>
      </w:pPr>
      <w:bookmarkStart w:name="bs_num_1_80c95423e" w:id="2"/>
      <w:r>
        <w:t>S</w:t>
      </w:r>
      <w:bookmarkEnd w:id="2"/>
      <w:r>
        <w:t>ECTION 1.</w:t>
      </w:r>
      <w:r>
        <w:tab/>
      </w:r>
      <w:bookmarkStart w:name="dl_b9104ed4e" w:id="3"/>
      <w:r w:rsidRPr="004762A7">
        <w:rPr>
          <w:color w:val="000000" w:themeColor="text1"/>
          <w:u w:color="000000" w:themeColor="text1"/>
        </w:rPr>
        <w:t>A</w:t>
      </w:r>
      <w:bookmarkEnd w:id="3"/>
      <w:r>
        <w:t>rticle 25, Chapter 6, Title 12 of the 1976 Code is amended by adding:</w:t>
      </w:r>
    </w:p>
    <w:p w:rsidRPr="004762A7" w:rsidR="00FA47A2" w:rsidP="00FA47A2" w:rsidRDefault="00FA47A2" w14:paraId="7C87731A" w14:textId="77777777">
      <w:pPr>
        <w:pStyle w:val="scemptyline"/>
      </w:pPr>
    </w:p>
    <w:p w:rsidRPr="004762A7" w:rsidR="00FA47A2" w:rsidP="00FA47A2" w:rsidRDefault="00FA47A2" w14:paraId="7357A5FA" w14:textId="77777777">
      <w:pPr>
        <w:pStyle w:val="scnewcodesection"/>
      </w:pPr>
      <w:bookmarkStart w:name="ns_T12C6N3785_b40d8d390" w:id="4"/>
      <w:r>
        <w:tab/>
      </w:r>
      <w:bookmarkEnd w:id="4"/>
      <w:r w:rsidRPr="004762A7">
        <w:rPr>
          <w:color w:val="000000" w:themeColor="text1"/>
          <w:u w:color="000000" w:themeColor="text1"/>
        </w:rPr>
        <w:t>Section 12</w:t>
      </w:r>
      <w:r>
        <w:rPr>
          <w:color w:val="000000" w:themeColor="text1"/>
          <w:u w:color="000000" w:themeColor="text1"/>
        </w:rPr>
        <w:noBreakHyphen/>
      </w:r>
      <w:r w:rsidRPr="004762A7">
        <w:rPr>
          <w:color w:val="000000" w:themeColor="text1"/>
          <w:u w:color="000000" w:themeColor="text1"/>
        </w:rPr>
        <w:t>6</w:t>
      </w:r>
      <w:r>
        <w:rPr>
          <w:color w:val="000000" w:themeColor="text1"/>
          <w:u w:color="000000" w:themeColor="text1"/>
        </w:rPr>
        <w:noBreakHyphen/>
      </w:r>
      <w:r w:rsidRPr="004762A7">
        <w:rPr>
          <w:color w:val="000000" w:themeColor="text1"/>
          <w:u w:color="000000" w:themeColor="text1"/>
        </w:rPr>
        <w:t>3785.</w:t>
      </w:r>
      <w:r w:rsidRPr="004762A7">
        <w:rPr>
          <w:color w:val="000000" w:themeColor="text1"/>
          <w:u w:color="000000" w:themeColor="text1"/>
        </w:rPr>
        <w:tab/>
        <w:t>(A)</w:t>
      </w:r>
      <w:r w:rsidRPr="004762A7">
        <w:t xml:space="preserve"> </w:t>
      </w:r>
      <w:r w:rsidRPr="004762A7">
        <w:rPr>
          <w:color w:val="000000" w:themeColor="text1"/>
          <w:u w:color="000000" w:themeColor="text1"/>
        </w:rPr>
        <w:t>An individual taxpayer may claim a credit against the income tax imposed pursuant to this chapter if the individual serves as a caregiver to an eligible person and is not compensated for the care.  The credit is equal to one hundred dollars for each month in which the care is provided if the caregiver is unable to work as a result of the care, and fifty dollars for each month in which the care is provided if the caregiver is able to work.</w:t>
      </w:r>
    </w:p>
    <w:p w:rsidRPr="004762A7" w:rsidR="00FA47A2" w:rsidP="00FA47A2" w:rsidRDefault="00FA47A2" w14:paraId="048759A4" w14:textId="77777777">
      <w:pPr>
        <w:pStyle w:val="scnewcodesection"/>
      </w:pPr>
      <w:r w:rsidRPr="004762A7">
        <w:rPr>
          <w:color w:val="000000" w:themeColor="text1"/>
          <w:u w:color="000000" w:themeColor="text1"/>
        </w:rPr>
        <w:tab/>
      </w:r>
      <w:bookmarkStart w:name="ss_T12C6N3785SB_lv1_f212abf43" w:id="5"/>
      <w:r w:rsidRPr="004762A7">
        <w:rPr>
          <w:color w:val="000000" w:themeColor="text1"/>
          <w:u w:color="000000" w:themeColor="text1"/>
        </w:rPr>
        <w:t>(</w:t>
      </w:r>
      <w:bookmarkEnd w:id="5"/>
      <w:r w:rsidRPr="004762A7">
        <w:rPr>
          <w:color w:val="000000" w:themeColor="text1"/>
          <w:u w:color="000000" w:themeColor="text1"/>
        </w:rPr>
        <w:t>B)</w:t>
      </w:r>
      <w:r w:rsidRPr="004762A7">
        <w:t xml:space="preserve"> </w:t>
      </w:r>
      <w:r w:rsidRPr="004762A7">
        <w:rPr>
          <w:color w:val="000000" w:themeColor="text1"/>
          <w:u w:color="000000" w:themeColor="text1"/>
        </w:rPr>
        <w:t xml:space="preserve">For purposes of this section, an </w:t>
      </w:r>
      <w:r w:rsidRPr="00481303">
        <w:rPr>
          <w:color w:val="000000" w:themeColor="text1"/>
          <w:u w:color="000000" w:themeColor="text1"/>
        </w:rPr>
        <w:t>‘</w:t>
      </w:r>
      <w:r w:rsidRPr="004762A7">
        <w:rPr>
          <w:color w:val="000000" w:themeColor="text1"/>
          <w:u w:color="000000" w:themeColor="text1"/>
        </w:rPr>
        <w:t>eligible person</w:t>
      </w:r>
      <w:r w:rsidRPr="00481303">
        <w:rPr>
          <w:color w:val="000000" w:themeColor="text1"/>
          <w:u w:color="000000" w:themeColor="text1"/>
        </w:rPr>
        <w:t>’</w:t>
      </w:r>
      <w:r w:rsidRPr="004762A7">
        <w:rPr>
          <w:color w:val="000000" w:themeColor="text1"/>
          <w:u w:color="000000" w:themeColor="text1"/>
        </w:rPr>
        <w:t xml:space="preserve"> is a person</w:t>
      </w:r>
      <w:r>
        <w:rPr>
          <w:color w:val="000000" w:themeColor="text1"/>
          <w:u w:color="000000" w:themeColor="text1"/>
        </w:rPr>
        <w:t xml:space="preserve"> who is at least seventy</w:t>
      </w:r>
      <w:r>
        <w:rPr>
          <w:color w:val="000000" w:themeColor="text1"/>
          <w:u w:color="000000" w:themeColor="text1"/>
        </w:rPr>
        <w:noBreakHyphen/>
        <w:t>five years of age in the year for which the credit is claimed and</w:t>
      </w:r>
      <w:r w:rsidRPr="004762A7">
        <w:rPr>
          <w:color w:val="000000" w:themeColor="text1"/>
          <w:u w:color="000000" w:themeColor="text1"/>
        </w:rPr>
        <w:t xml:space="preserve"> who has lost the ability to perform two of the following activities without substantial assistance for a period that is expected to continue for at least ninety days:</w:t>
      </w:r>
    </w:p>
    <w:p w:rsidRPr="004762A7" w:rsidR="00FA47A2" w:rsidP="00FA47A2" w:rsidRDefault="00FA47A2" w14:paraId="578698C2" w14:textId="77777777">
      <w:pPr>
        <w:pStyle w:val="scnewcodesection"/>
      </w:pPr>
      <w:r w:rsidRPr="004762A7">
        <w:rPr>
          <w:color w:val="000000" w:themeColor="text1"/>
          <w:u w:color="000000" w:themeColor="text1"/>
        </w:rPr>
        <w:tab/>
      </w:r>
      <w:r w:rsidRPr="004762A7">
        <w:rPr>
          <w:color w:val="000000" w:themeColor="text1"/>
          <w:u w:color="000000" w:themeColor="text1"/>
        </w:rPr>
        <w:tab/>
      </w:r>
      <w:bookmarkStart w:name="ss_T12C6N3785S1_lv2_127fa2c55" w:id="6"/>
      <w:r w:rsidRPr="004762A7">
        <w:rPr>
          <w:color w:val="000000" w:themeColor="text1"/>
          <w:u w:color="000000" w:themeColor="text1"/>
        </w:rPr>
        <w:t>(</w:t>
      </w:r>
      <w:bookmarkEnd w:id="6"/>
      <w:r w:rsidRPr="004762A7">
        <w:rPr>
          <w:color w:val="000000" w:themeColor="text1"/>
          <w:u w:color="000000" w:themeColor="text1"/>
        </w:rPr>
        <w:t>1)</w:t>
      </w:r>
      <w:r w:rsidRPr="004762A7">
        <w:t xml:space="preserve"> </w:t>
      </w:r>
      <w:r w:rsidRPr="004762A7">
        <w:rPr>
          <w:color w:val="000000" w:themeColor="text1"/>
          <w:u w:color="000000" w:themeColor="text1"/>
        </w:rPr>
        <w:t>bathing;</w:t>
      </w:r>
    </w:p>
    <w:p w:rsidRPr="004762A7" w:rsidR="00FA47A2" w:rsidP="00FA47A2" w:rsidRDefault="00FA47A2" w14:paraId="619F1C72" w14:textId="77777777">
      <w:pPr>
        <w:pStyle w:val="scnewcodesection"/>
      </w:pPr>
      <w:r w:rsidRPr="004762A7">
        <w:rPr>
          <w:color w:val="000000" w:themeColor="text1"/>
          <w:u w:color="000000" w:themeColor="text1"/>
        </w:rPr>
        <w:tab/>
      </w:r>
      <w:r w:rsidRPr="004762A7">
        <w:rPr>
          <w:color w:val="000000" w:themeColor="text1"/>
          <w:u w:color="000000" w:themeColor="text1"/>
        </w:rPr>
        <w:tab/>
      </w:r>
      <w:bookmarkStart w:name="ss_T12C6N3785S2_lv2_b0560d628" w:id="7"/>
      <w:r w:rsidRPr="004762A7">
        <w:rPr>
          <w:color w:val="000000" w:themeColor="text1"/>
          <w:u w:color="000000" w:themeColor="text1"/>
        </w:rPr>
        <w:t>(</w:t>
      </w:r>
      <w:bookmarkEnd w:id="7"/>
      <w:r w:rsidRPr="004762A7">
        <w:rPr>
          <w:color w:val="000000" w:themeColor="text1"/>
          <w:u w:color="000000" w:themeColor="text1"/>
        </w:rPr>
        <w:t>2)</w:t>
      </w:r>
      <w:r w:rsidRPr="004762A7">
        <w:t xml:space="preserve"> </w:t>
      </w:r>
      <w:r w:rsidRPr="004762A7">
        <w:rPr>
          <w:color w:val="000000" w:themeColor="text1"/>
          <w:u w:color="000000" w:themeColor="text1"/>
        </w:rPr>
        <w:t>continence;</w:t>
      </w:r>
    </w:p>
    <w:p w:rsidRPr="004762A7" w:rsidR="00FA47A2" w:rsidP="00FA47A2" w:rsidRDefault="00FA47A2" w14:paraId="301336AE" w14:textId="77777777">
      <w:pPr>
        <w:pStyle w:val="scnewcodesection"/>
      </w:pPr>
      <w:r w:rsidRPr="004762A7">
        <w:rPr>
          <w:color w:val="000000" w:themeColor="text1"/>
          <w:u w:color="000000" w:themeColor="text1"/>
        </w:rPr>
        <w:tab/>
      </w:r>
      <w:r w:rsidRPr="004762A7">
        <w:rPr>
          <w:color w:val="000000" w:themeColor="text1"/>
          <w:u w:color="000000" w:themeColor="text1"/>
        </w:rPr>
        <w:tab/>
      </w:r>
      <w:bookmarkStart w:name="ss_T12C6N3785S3_lv2_11c0e103d" w:id="8"/>
      <w:r w:rsidRPr="004762A7">
        <w:rPr>
          <w:color w:val="000000" w:themeColor="text1"/>
          <w:u w:color="000000" w:themeColor="text1"/>
        </w:rPr>
        <w:t>(</w:t>
      </w:r>
      <w:bookmarkEnd w:id="8"/>
      <w:r w:rsidRPr="004762A7">
        <w:rPr>
          <w:color w:val="000000" w:themeColor="text1"/>
          <w:u w:color="000000" w:themeColor="text1"/>
        </w:rPr>
        <w:t>3)</w:t>
      </w:r>
      <w:r w:rsidRPr="004762A7">
        <w:t xml:space="preserve"> </w:t>
      </w:r>
      <w:r w:rsidRPr="004762A7">
        <w:rPr>
          <w:color w:val="000000" w:themeColor="text1"/>
          <w:u w:color="000000" w:themeColor="text1"/>
        </w:rPr>
        <w:t>dressing;</w:t>
      </w:r>
    </w:p>
    <w:p w:rsidRPr="004762A7" w:rsidR="00FA47A2" w:rsidP="00FA47A2" w:rsidRDefault="00FA47A2" w14:paraId="6C256EF3" w14:textId="77777777">
      <w:pPr>
        <w:pStyle w:val="scnewcodesection"/>
      </w:pPr>
      <w:r w:rsidRPr="004762A7">
        <w:rPr>
          <w:color w:val="000000" w:themeColor="text1"/>
          <w:u w:color="000000" w:themeColor="text1"/>
        </w:rPr>
        <w:tab/>
      </w:r>
      <w:r w:rsidRPr="004762A7">
        <w:rPr>
          <w:color w:val="000000" w:themeColor="text1"/>
          <w:u w:color="000000" w:themeColor="text1"/>
        </w:rPr>
        <w:tab/>
      </w:r>
      <w:bookmarkStart w:name="ss_T12C6N3785S4_lv2_84dc2d657" w:id="9"/>
      <w:r w:rsidRPr="004762A7">
        <w:rPr>
          <w:color w:val="000000" w:themeColor="text1"/>
          <w:u w:color="000000" w:themeColor="text1"/>
        </w:rPr>
        <w:t>(</w:t>
      </w:r>
      <w:bookmarkEnd w:id="9"/>
      <w:r w:rsidRPr="004762A7">
        <w:rPr>
          <w:color w:val="000000" w:themeColor="text1"/>
          <w:u w:color="000000" w:themeColor="text1"/>
        </w:rPr>
        <w:t>4)</w:t>
      </w:r>
      <w:r w:rsidRPr="004762A7">
        <w:t xml:space="preserve"> </w:t>
      </w:r>
      <w:r w:rsidRPr="004762A7">
        <w:rPr>
          <w:color w:val="000000" w:themeColor="text1"/>
          <w:u w:color="000000" w:themeColor="text1"/>
        </w:rPr>
        <w:t>eating;</w:t>
      </w:r>
    </w:p>
    <w:p w:rsidRPr="004762A7" w:rsidR="00FA47A2" w:rsidP="00FA47A2" w:rsidRDefault="00FA47A2" w14:paraId="731E53E4" w14:textId="77777777">
      <w:pPr>
        <w:pStyle w:val="scnewcodesection"/>
      </w:pPr>
      <w:r w:rsidRPr="004762A7">
        <w:rPr>
          <w:color w:val="000000" w:themeColor="text1"/>
          <w:u w:color="000000" w:themeColor="text1"/>
        </w:rPr>
        <w:tab/>
      </w:r>
      <w:r w:rsidRPr="004762A7">
        <w:rPr>
          <w:color w:val="000000" w:themeColor="text1"/>
          <w:u w:color="000000" w:themeColor="text1"/>
        </w:rPr>
        <w:tab/>
      </w:r>
      <w:bookmarkStart w:name="ss_T12C6N3785S5_lv2_685904fe8" w:id="10"/>
      <w:r w:rsidRPr="004762A7">
        <w:rPr>
          <w:color w:val="000000" w:themeColor="text1"/>
          <w:u w:color="000000" w:themeColor="text1"/>
        </w:rPr>
        <w:t>(</w:t>
      </w:r>
      <w:bookmarkEnd w:id="10"/>
      <w:r w:rsidRPr="004762A7">
        <w:rPr>
          <w:color w:val="000000" w:themeColor="text1"/>
          <w:u w:color="000000" w:themeColor="text1"/>
        </w:rPr>
        <w:t>5)</w:t>
      </w:r>
      <w:r w:rsidRPr="004762A7">
        <w:t xml:space="preserve"> </w:t>
      </w:r>
      <w:r w:rsidRPr="004762A7">
        <w:rPr>
          <w:color w:val="000000" w:themeColor="text1"/>
          <w:u w:color="000000" w:themeColor="text1"/>
        </w:rPr>
        <w:t>toileting; or</w:t>
      </w:r>
    </w:p>
    <w:p w:rsidRPr="004762A7" w:rsidR="00FA47A2" w:rsidP="00FA47A2" w:rsidRDefault="00FA47A2" w14:paraId="2A7B7EC4" w14:textId="1E29F827">
      <w:pPr>
        <w:pStyle w:val="scnewcodesection"/>
      </w:pPr>
      <w:r w:rsidRPr="004762A7">
        <w:rPr>
          <w:color w:val="000000" w:themeColor="text1"/>
          <w:u w:color="000000" w:themeColor="text1"/>
        </w:rPr>
        <w:tab/>
      </w:r>
      <w:r w:rsidRPr="004762A7">
        <w:rPr>
          <w:color w:val="000000" w:themeColor="text1"/>
          <w:u w:color="000000" w:themeColor="text1"/>
        </w:rPr>
        <w:tab/>
      </w:r>
      <w:bookmarkStart w:name="ss_T12C6N3785S6_lv2_83f886fff" w:id="11"/>
      <w:r w:rsidRPr="004762A7">
        <w:rPr>
          <w:color w:val="000000" w:themeColor="text1"/>
          <w:u w:color="000000" w:themeColor="text1"/>
        </w:rPr>
        <w:t>(</w:t>
      </w:r>
      <w:bookmarkEnd w:id="11"/>
      <w:r w:rsidRPr="004762A7">
        <w:rPr>
          <w:color w:val="000000" w:themeColor="text1"/>
          <w:u w:color="000000" w:themeColor="text1"/>
        </w:rPr>
        <w:t>6)</w:t>
      </w:r>
      <w:r w:rsidRPr="004762A7">
        <w:t xml:space="preserve"> </w:t>
      </w:r>
      <w:r w:rsidRPr="004762A7">
        <w:rPr>
          <w:color w:val="000000" w:themeColor="text1"/>
          <w:u w:color="000000" w:themeColor="text1"/>
        </w:rPr>
        <w:t>mobility.</w:t>
      </w:r>
    </w:p>
    <w:p w:rsidRPr="004762A7" w:rsidR="00FA47A2" w:rsidP="00FA47A2" w:rsidRDefault="00FA47A2" w14:paraId="5EBADDC6" w14:textId="77777777">
      <w:pPr>
        <w:pStyle w:val="scnewcodesection"/>
      </w:pPr>
      <w:r w:rsidRPr="004762A7">
        <w:rPr>
          <w:color w:val="000000" w:themeColor="text1"/>
          <w:u w:color="000000" w:themeColor="text1"/>
        </w:rPr>
        <w:tab/>
      </w:r>
      <w:bookmarkStart w:name="ss_T12C6N3785SC_lv1_da61496c3" w:id="12"/>
      <w:r w:rsidRPr="004762A7">
        <w:rPr>
          <w:color w:val="000000" w:themeColor="text1"/>
          <w:u w:color="000000" w:themeColor="text1"/>
        </w:rPr>
        <w:t>(</w:t>
      </w:r>
      <w:bookmarkEnd w:id="12"/>
      <w:r w:rsidRPr="004762A7">
        <w:rPr>
          <w:color w:val="000000" w:themeColor="text1"/>
          <w:u w:color="000000" w:themeColor="text1"/>
        </w:rPr>
        <w:t>C)</w:t>
      </w:r>
      <w:r w:rsidRPr="004762A7">
        <w:t xml:space="preserve"> </w:t>
      </w:r>
      <w:r w:rsidRPr="004762A7">
        <w:rPr>
          <w:color w:val="000000" w:themeColor="text1"/>
          <w:u w:color="000000" w:themeColor="text1"/>
        </w:rPr>
        <w:t xml:space="preserve">To claim the credit allowed by this section, the individual taxpayer must provide a statement from a doctor stating that the </w:t>
      </w:r>
      <w:r w:rsidRPr="00481303">
        <w:rPr>
          <w:color w:val="000000" w:themeColor="text1"/>
          <w:u w:color="000000" w:themeColor="text1"/>
        </w:rPr>
        <w:t>‘</w:t>
      </w:r>
      <w:r w:rsidRPr="004762A7">
        <w:rPr>
          <w:color w:val="000000" w:themeColor="text1"/>
          <w:u w:color="000000" w:themeColor="text1"/>
        </w:rPr>
        <w:t>eligible person</w:t>
      </w:r>
      <w:r w:rsidRPr="00481303">
        <w:rPr>
          <w:color w:val="000000" w:themeColor="text1"/>
          <w:u w:color="000000" w:themeColor="text1"/>
        </w:rPr>
        <w:t>’</w:t>
      </w:r>
      <w:r w:rsidRPr="004762A7">
        <w:rPr>
          <w:color w:val="000000" w:themeColor="text1"/>
          <w:u w:color="000000" w:themeColor="text1"/>
        </w:rPr>
        <w:t xml:space="preserve"> qualifies as such pursuant to subsection (B).  The department shall prescribe the form by which a doctor may make the statement.</w:t>
      </w:r>
    </w:p>
    <w:p w:rsidRPr="004762A7" w:rsidR="00FA47A2" w:rsidP="00FA47A2" w:rsidRDefault="00FA47A2" w14:paraId="41DAD417" w14:textId="77777777">
      <w:pPr>
        <w:pStyle w:val="scnewcodesection"/>
      </w:pPr>
      <w:r w:rsidRPr="004762A7">
        <w:rPr>
          <w:color w:val="000000" w:themeColor="text1"/>
          <w:u w:color="000000" w:themeColor="text1"/>
        </w:rPr>
        <w:tab/>
      </w:r>
      <w:bookmarkStart w:name="ss_T12C6N3785SD_lv1_a6ce15c24" w:id="13"/>
      <w:r w:rsidRPr="004762A7">
        <w:rPr>
          <w:color w:val="000000" w:themeColor="text1"/>
          <w:u w:color="000000" w:themeColor="text1"/>
        </w:rPr>
        <w:t>(</w:t>
      </w:r>
      <w:bookmarkEnd w:id="13"/>
      <w:r w:rsidRPr="004762A7">
        <w:rPr>
          <w:color w:val="000000" w:themeColor="text1"/>
          <w:u w:color="000000" w:themeColor="text1"/>
        </w:rPr>
        <w:t>D)</w:t>
      </w:r>
      <w:r w:rsidRPr="004762A7">
        <w:t xml:space="preserve"> </w:t>
      </w:r>
      <w:r w:rsidRPr="004762A7">
        <w:rPr>
          <w:color w:val="000000" w:themeColor="text1"/>
          <w:u w:color="000000" w:themeColor="text1"/>
        </w:rPr>
        <w:t>The department may require whatever other proof it determines necessary to determine eligibility for the credit.</w:t>
      </w:r>
    </w:p>
    <w:p w:rsidRPr="004762A7" w:rsidR="00FA47A2" w:rsidP="00FA47A2" w:rsidRDefault="00FA47A2" w14:paraId="0307440F" w14:textId="77777777">
      <w:pPr>
        <w:pStyle w:val="scemptyline"/>
      </w:pPr>
    </w:p>
    <w:p w:rsidR="00FA47A2" w:rsidP="00FA47A2" w:rsidRDefault="00FA47A2" w14:paraId="48CAB4C9" w14:textId="203FB373">
      <w:pPr>
        <w:pStyle w:val="scnoncodifiedsection"/>
      </w:pPr>
      <w:bookmarkStart w:name="eff_date_section" w:id="14"/>
      <w:bookmarkStart w:name="bs_num_2_lastsection" w:id="15"/>
      <w:bookmarkEnd w:id="14"/>
      <w:r w:rsidRPr="004762A7">
        <w:rPr>
          <w:color w:val="000000" w:themeColor="text1"/>
          <w:u w:color="000000" w:themeColor="text1"/>
        </w:rPr>
        <w:lastRenderedPageBreak/>
        <w:t>S</w:t>
      </w:r>
      <w:bookmarkEnd w:id="15"/>
      <w:r>
        <w:t xml:space="preserve">ECTION </w:t>
      </w:r>
      <w:r w:rsidRPr="004762A7">
        <w:rPr>
          <w:color w:val="000000" w:themeColor="text1"/>
          <w:u w:color="000000" w:themeColor="text1"/>
        </w:rPr>
        <w:t>2.</w:t>
      </w:r>
      <w:r w:rsidRPr="004762A7">
        <w:rPr>
          <w:color w:val="000000" w:themeColor="text1"/>
          <w:u w:color="000000" w:themeColor="text1"/>
        </w:rPr>
        <w:tab/>
        <w:t>This act takes effect upon approval by the Governor and applies to tax years beginning after 20</w:t>
      </w:r>
      <w:r>
        <w:rPr>
          <w:color w:val="000000" w:themeColor="text1"/>
          <w:u w:color="000000" w:themeColor="text1"/>
        </w:rPr>
        <w:t>2</w:t>
      </w:r>
      <w:r w:rsidR="000F0F74">
        <w:rPr>
          <w:color w:val="000000" w:themeColor="text1"/>
          <w:u w:color="000000" w:themeColor="text1"/>
        </w:rPr>
        <w:t>3</w:t>
      </w:r>
      <w:r w:rsidRPr="004762A7">
        <w:rPr>
          <w:color w:val="000000" w:themeColor="text1"/>
          <w:u w:color="000000" w:themeColor="text1"/>
        </w:rPr>
        <w:t>.</w:t>
      </w:r>
    </w:p>
    <w:p w:rsidRPr="00DF3B44" w:rsidR="005516F6" w:rsidP="009E4191" w:rsidRDefault="00FA47A2" w14:paraId="7389F665" w14:textId="6940083E">
      <w:pPr>
        <w:pStyle w:val="scbillendxx"/>
      </w:pPr>
      <w:r>
        <w:noBreakHyphen/>
      </w:r>
      <w:r>
        <w:noBreakHyphen/>
      </w:r>
      <w:r>
        <w:noBreakHyphen/>
      </w:r>
      <w:r>
        <w:noBreakHyphen/>
        <w:t>XX</w:t>
      </w:r>
      <w:r>
        <w:noBreakHyphen/>
      </w:r>
      <w:r>
        <w:noBreakHyphen/>
      </w:r>
      <w:r>
        <w:noBreakHyphen/>
      </w:r>
      <w:r>
        <w:noBreakHyphen/>
      </w:r>
    </w:p>
    <w:sectPr w:rsidRPr="00DF3B44" w:rsidR="005516F6" w:rsidSect="005341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491D14" w:rsidR="00685035" w:rsidRPr="007B4AF7" w:rsidRDefault="009033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[0018]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0F74"/>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4101"/>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334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B54"/>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7A2"/>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amp;session=125&amp;summary=B" TargetMode="External" Id="R2330017536eb4a42" /><Relationship Type="http://schemas.openxmlformats.org/officeDocument/2006/relationships/hyperlink" Target="https://www.scstatehouse.gov/sess125_2023-2024/prever/18_20221130.docx" TargetMode="External" Id="R2048b2e207c242ac" /><Relationship Type="http://schemas.openxmlformats.org/officeDocument/2006/relationships/hyperlink" Target="https://www.scstatehouse.gov/sess125_2023-2024/prever/18_20230208.docx" TargetMode="External" Id="R7ac2002f3380482b" /><Relationship Type="http://schemas.openxmlformats.org/officeDocument/2006/relationships/hyperlink" Target="h:\sj\20230110.docx" TargetMode="External" Id="Ra054cf16c10e4f38" /><Relationship Type="http://schemas.openxmlformats.org/officeDocument/2006/relationships/hyperlink" Target="h:\sj\20230110.docx" TargetMode="External" Id="Re19ad4706ccb44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b0179b98-4b09-44e2-a628-f744a53b64ec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da7dfc0d-3c3b-4c86-9356-13cb68147875</T_BILL_REQUEST_REQUEST>
  <T_BILL_R_ORIGINALDRAFT>296d424b-f09b-47bc-9491-22cfbabbbdfd</T_BILL_R_ORIGINALDRAFT>
  <T_BILL_SPONSOR_SPONSOR>9263d18e-ba67-4ce8-96da-640e76f8ff09</T_BILL_SPONSOR_SPONSOR>
  <T_BILL_T_ACTNUMBER>None</T_BILL_T_ACTNUMBER>
  <T_BILL_T_BILLNAME>[0018]</T_BILL_T_BILLNAME>
  <T_BILL_T_BILLNUMBER>18</T_BILL_T_BILLNUMBER>
  <T_BILL_T_BILLTITLE>TO AMEND THE CODE OF LAWS OF SOUTH CAROLINA BY ADDING SECTION 12-6-3785 SO AS TO ALLOW AN INDIVIDUAL TAXPAYER TO CLAIM AN INCOME TAX CREDIT IF THE INDIVIDUAL SERVES AS A CAREGIVER FOR A PERSON WHO IS AT LEAST SEVENTY-FIVE YEARS OF AGE, AND TO SET THE AMOUNT OF THE CREDIT.</T_BILL_T_BILLTITLE>
  <T_BILL_T_CHAMBER>senate</T_BILL_T_CHAMBER>
  <T_BILL_T_FILENAME> </T_BILL_T_FILENAME>
  <T_BILL_T_LEGTYPE>bill_statewide</T_BILL_T_LEGTYPE>
  <T_BILL_T_RATNUMBER>None</T_BILL_T_RATNUMBER>
  <T_BILL_T_SECTIONS>[{"SectionUUID":"52b9b407-37b8-457b-b25c-9d4bf19cb84d","SectionName":"code_section","SectionNumber":1,"SectionType":"code_section","CodeSections":[{"CodeSectionBookmarkName":"ns_T12C6N3785_b40d8d390","IsConstitutionSection":false,"Identity":"12-6-3785","IsNew":true,"SubSections":[{"Level":1,"Identity":"T12C6N3785SB","SubSectionBookmarkName":"ss_T12C6N3785SB_lv1_f212abf43","IsNewSubSection":false},{"Level":2,"Identity":"T12C6N3785S1","SubSectionBookmarkName":"ss_T12C6N3785S1_lv2_127fa2c55","IsNewSubSection":false},{"Level":2,"Identity":"T12C6N3785S2","SubSectionBookmarkName":"ss_T12C6N3785S2_lv2_b0560d628","IsNewSubSection":false},{"Level":2,"Identity":"T12C6N3785S3","SubSectionBookmarkName":"ss_T12C6N3785S3_lv2_11c0e103d","IsNewSubSection":false},{"Level":2,"Identity":"T12C6N3785S4","SubSectionBookmarkName":"ss_T12C6N3785S4_lv2_84dc2d657","IsNewSubSection":false},{"Level":2,"Identity":"T12C6N3785S5","SubSectionBookmarkName":"ss_T12C6N3785S5_lv2_685904fe8","IsNewSubSection":false},{"Level":2,"Identity":"T12C6N3785S6","SubSectionBookmarkName":"ss_T12C6N3785S6_lv2_83f886fff","IsNewSubSection":false},{"Level":1,"Identity":"T12C6N3785SC","SubSectionBookmarkName":"ss_T12C6N3785SC_lv1_da61496c3","IsNewSubSection":false},{"Level":1,"Identity":"T12C6N3785SD","SubSectionBookmarkName":"ss_T12C6N3785SD_lv1_a6ce15c24","IsNewSubSection":false}],"TitleRelatedTo":"","TitleSoAsTo":"","Deleted":false}],"TitleText":"","DisableControls":false,"Deleted":false,"SectionBookmarkName":"bs_num_1_80c95423e"},{"SectionUUID":"13527b50-72ec-4443-be68-969294efc45a","SectionName":"standard_eff_date_section","SectionNumber":2,"SectionType":"drafting_clause","CodeSections":[],"TitleText":"","DisableControls":false,"Deleted":false,"SectionBookmarkName":"bs_num_2_lastsection"}]</T_BILL_T_SECTIONS>
  <T_BILL_T_SECTIONSHISTORY>[{"Id":1,"SectionsList":[{"SectionUUID":"52b9b407-37b8-457b-b25c-9d4bf19cb84d","SectionName":"code_section","SectionNumber":1,"SectionType":"code_section","CodeSections":[{"CodeSectionBookmarkName":"ns_T12C6N3785_b40d8d390","IsConstitutionSection":false,"Identity":"12-6-3785","IsNew":true,"SubSections":[{"Level":1,"Identity":"T12C6N3785SB","SubSectionBookmarkName":"ss_T12C6N3785SB_lv1_f212abf43","IsNewSubSection":false},{"Level":2,"Identity":"T12C6N3785S1","SubSectionBookmarkName":"ss_T12C6N3785S1_lv2_127fa2c55","IsNewSubSection":false},{"Level":2,"Identity":"T12C6N3785S2","SubSectionBookmarkName":"ss_T12C6N3785S2_lv2_b0560d628","IsNewSubSection":false},{"Level":2,"Identity":"T12C6N3785S3","SubSectionBookmarkName":"ss_T12C6N3785S3_lv2_11c0e103d","IsNewSubSection":false},{"Level":2,"Identity":"T12C6N3785S4","SubSectionBookmarkName":"ss_T12C6N3785S4_lv2_84dc2d657","IsNewSubSection":false},{"Level":2,"Identity":"T12C6N3785S5","SubSectionBookmarkName":"ss_T12C6N3785S5_lv2_685904fe8","IsNewSubSection":false},{"Level":2,"Identity":"T12C6N3785S6","SubSectionBookmarkName":"ss_T12C6N3785S6_lv2_83f886fff","IsNewSubSection":false},{"Level":1,"Identity":"T12C6N3785SC","SubSectionBookmarkName":"ss_T12C6N3785SC_lv1_da61496c3","IsNewSubSection":false},{"Level":1,"Identity":"T12C6N3785SD","SubSectionBookmarkName":"ss_T12C6N3785SD_lv1_a6ce15c24","IsNewSubSection":false}],"TitleRelatedTo":"","TitleSoAsTo":"","Deleted":false}],"TitleText":"","DisableControls":false,"Deleted":false,"SectionBookmarkName":"bs_num_1_80c95423e"},{"SectionUUID":"13527b50-72ec-4443-be68-969294efc45a","SectionName":"standard_eff_date_section","SectionNumber":2,"SectionType":"drafting_clause","CodeSections":[],"TitleText":"","DisableControls":false,"Deleted":false,"SectionBookmarkName":"bs_num_2_lastsection"}],"Timestamp":"2022-11-29T17:19:46.2733757-05:00","Username":"ebony.young@scstatehouse.gov"}]</T_BILL_T_SECTIONSHISTORY>
  <T_BILL_T_SUBJECT>Income tax, credit</T_BILL_T_SUBJECT>
  <T_BILL_UR_DRAFTER>amandaadler@scsenate.gov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1526</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15</cp:revision>
  <dcterms:created xsi:type="dcterms:W3CDTF">2022-06-03T11:45:00Z</dcterms:created>
  <dcterms:modified xsi:type="dcterms:W3CDTF">2023-02-08T18:38:00Z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