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E8" w:rsidRPr="00EE058D" w:rsidRDefault="007E2DE8" w:rsidP="00EE058D">
      <w:pPr>
        <w:spacing w:after="0"/>
        <w:jc w:val="center"/>
        <w:rPr>
          <w:sz w:val="22"/>
          <w:szCs w:val="22"/>
        </w:rPr>
      </w:pPr>
      <w:r w:rsidRPr="00EE058D">
        <w:rPr>
          <w:sz w:val="22"/>
          <w:szCs w:val="22"/>
        </w:rPr>
        <w:t>DISCLAIMER</w:t>
      </w:r>
    </w:p>
    <w:p w:rsidR="007E2DE8" w:rsidRPr="00EE058D" w:rsidRDefault="007E2DE8" w:rsidP="00EE058D">
      <w:pPr>
        <w:spacing w:after="0"/>
        <w:rPr>
          <w:sz w:val="22"/>
          <w:szCs w:val="22"/>
        </w:rPr>
      </w:pPr>
    </w:p>
    <w:p w:rsidR="007E2DE8" w:rsidRPr="00EE058D" w:rsidRDefault="007E2DE8" w:rsidP="00EE058D">
      <w:pPr>
        <w:spacing w:after="0"/>
        <w:jc w:val="both"/>
        <w:rPr>
          <w:sz w:val="22"/>
          <w:szCs w:val="22"/>
        </w:rPr>
      </w:pPr>
      <w:r w:rsidRPr="00EE058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E2DE8" w:rsidRPr="00EE058D" w:rsidRDefault="007E2DE8" w:rsidP="00EE058D">
      <w:pPr>
        <w:spacing w:after="0"/>
        <w:rPr>
          <w:sz w:val="22"/>
          <w:szCs w:val="22"/>
        </w:rPr>
      </w:pPr>
    </w:p>
    <w:p w:rsidR="007E2DE8" w:rsidRPr="00EE058D" w:rsidRDefault="007E2DE8" w:rsidP="00EE058D">
      <w:pPr>
        <w:spacing w:after="0"/>
        <w:jc w:val="both"/>
        <w:rPr>
          <w:sz w:val="22"/>
          <w:szCs w:val="22"/>
        </w:rPr>
      </w:pPr>
      <w:r w:rsidRPr="00EE058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2DE8" w:rsidRPr="00EE058D" w:rsidRDefault="007E2DE8" w:rsidP="00EE058D">
      <w:pPr>
        <w:spacing w:after="0"/>
        <w:rPr>
          <w:sz w:val="22"/>
          <w:szCs w:val="22"/>
        </w:rPr>
      </w:pPr>
    </w:p>
    <w:p w:rsidR="007E2DE8" w:rsidRPr="00EE058D" w:rsidRDefault="007E2DE8" w:rsidP="00EE058D">
      <w:pPr>
        <w:spacing w:after="0"/>
        <w:jc w:val="both"/>
        <w:rPr>
          <w:sz w:val="22"/>
          <w:szCs w:val="22"/>
        </w:rPr>
      </w:pPr>
      <w:r w:rsidRPr="00EE058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2DE8" w:rsidRPr="00EE058D" w:rsidRDefault="007E2DE8" w:rsidP="00EE058D">
      <w:pPr>
        <w:spacing w:after="0"/>
        <w:rPr>
          <w:sz w:val="22"/>
          <w:szCs w:val="22"/>
        </w:rPr>
      </w:pPr>
    </w:p>
    <w:p w:rsidR="007E2DE8" w:rsidRPr="00EE058D" w:rsidRDefault="007E2DE8" w:rsidP="00EE058D">
      <w:pPr>
        <w:spacing w:after="0"/>
        <w:jc w:val="both"/>
        <w:rPr>
          <w:sz w:val="22"/>
          <w:szCs w:val="22"/>
        </w:rPr>
      </w:pPr>
      <w:r w:rsidRPr="00EE058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E058D">
          <w:rPr>
            <w:rStyle w:val="Hyperlink"/>
            <w:sz w:val="22"/>
            <w:szCs w:val="22"/>
          </w:rPr>
          <w:t>LPITS@scstatehouse.net</w:t>
        </w:r>
      </w:hyperlink>
      <w:r w:rsidRPr="00EE058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E2DE8" w:rsidRDefault="007E2DE8"/>
    <w:p w:rsidR="007E2DE8" w:rsidRDefault="007E2DE8">
      <w:pPr>
        <w:widowControl/>
        <w:autoSpaceDE/>
        <w:autoSpaceDN/>
        <w:adjustRightInd/>
        <w:spacing w:after="200" w:line="276" w:lineRule="auto"/>
        <w:rPr>
          <w:color w:val="auto"/>
          <w:sz w:val="22"/>
        </w:rPr>
      </w:pPr>
      <w:r>
        <w:rPr>
          <w:color w:val="auto"/>
          <w:sz w:val="22"/>
        </w:rPr>
        <w:br w:type="page"/>
      </w:r>
    </w:p>
    <w:p w:rsid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7F65">
        <w:rPr>
          <w:color w:val="auto"/>
          <w:sz w:val="22"/>
        </w:rPr>
        <w:lastRenderedPageBreak/>
        <w:t>CHAPTER 11.</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77F65">
        <w:rPr>
          <w:color w:val="auto"/>
          <w:sz w:val="22"/>
        </w:rPr>
        <w:t xml:space="preserve"> GAMBLING CRUISE ACT</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100.</w:t>
      </w:r>
      <w:r w:rsidR="003767C4" w:rsidRPr="00B77F65">
        <w:rPr>
          <w:color w:val="auto"/>
          <w:sz w:val="22"/>
        </w:rPr>
        <w:t xml:space="preserve"> Definitions.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For purposes of this chapter: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(1) </w:t>
      </w:r>
      <w:r w:rsidR="00B77F65" w:rsidRPr="00B77F65">
        <w:rPr>
          <w:color w:val="auto"/>
          <w:sz w:val="22"/>
        </w:rPr>
        <w:t>“</w:t>
      </w:r>
      <w:r w:rsidRPr="00B77F65">
        <w:rPr>
          <w:color w:val="auto"/>
          <w:sz w:val="22"/>
        </w:rPr>
        <w:t>Gambling vessel</w:t>
      </w:r>
      <w:r w:rsidR="00B77F65" w:rsidRPr="00B77F65">
        <w:rPr>
          <w:color w:val="auto"/>
          <w:sz w:val="22"/>
        </w:rPr>
        <w:t>”</w:t>
      </w:r>
      <w:r w:rsidRPr="00B77F65">
        <w:rPr>
          <w:color w:val="auto"/>
          <w:sz w:val="22"/>
        </w:rPr>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(2) </w:t>
      </w:r>
      <w:r w:rsidR="00B77F65" w:rsidRPr="00B77F65">
        <w:rPr>
          <w:color w:val="auto"/>
          <w:sz w:val="22"/>
        </w:rPr>
        <w:t>“</w:t>
      </w:r>
      <w:r w:rsidRPr="00B77F65">
        <w:rPr>
          <w:color w:val="auto"/>
          <w:sz w:val="22"/>
        </w:rPr>
        <w:t>Gambling</w:t>
      </w:r>
      <w:r w:rsidR="00B77F65" w:rsidRPr="00B77F65">
        <w:rPr>
          <w:color w:val="auto"/>
          <w:sz w:val="22"/>
        </w:rPr>
        <w:t>”</w:t>
      </w:r>
      <w:r w:rsidRPr="00B77F65">
        <w:rPr>
          <w:color w:val="auto"/>
          <w:sz w:val="22"/>
        </w:rPr>
        <w:t xml:space="preserve"> or </w:t>
      </w:r>
      <w:r w:rsidR="00B77F65" w:rsidRPr="00B77F65">
        <w:rPr>
          <w:color w:val="auto"/>
          <w:sz w:val="22"/>
        </w:rPr>
        <w:t>“</w:t>
      </w:r>
      <w:r w:rsidRPr="00B77F65">
        <w:rPr>
          <w:color w:val="auto"/>
          <w:sz w:val="22"/>
        </w:rPr>
        <w:t>gambling device</w:t>
      </w:r>
      <w:r w:rsidR="00B77F65" w:rsidRPr="00B77F65">
        <w:rPr>
          <w:color w:val="auto"/>
          <w:sz w:val="22"/>
        </w:rPr>
        <w:t>”</w:t>
      </w:r>
      <w:r w:rsidRPr="00B77F65">
        <w:rPr>
          <w:color w:val="auto"/>
          <w:sz w:val="22"/>
        </w:rPr>
        <w:t xml:space="preserve"> means any game of chance and includes, but is not limited to, slot machines, punchboards, video poker or blackjack machines, keeno, roulette, craps, or any other gaming table type gambling or poker, blackjack, or any other card gambling game.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(3) </w:t>
      </w:r>
      <w:r w:rsidR="00B77F65" w:rsidRPr="00B77F65">
        <w:rPr>
          <w:color w:val="auto"/>
          <w:sz w:val="22"/>
        </w:rPr>
        <w:t>“</w:t>
      </w:r>
      <w:r w:rsidRPr="00B77F65">
        <w:rPr>
          <w:color w:val="auto"/>
          <w:sz w:val="22"/>
        </w:rPr>
        <w:t>Intervening stop</w:t>
      </w:r>
      <w:r w:rsidR="00B77F65" w:rsidRPr="00B77F65">
        <w:rPr>
          <w:color w:val="auto"/>
          <w:sz w:val="22"/>
        </w:rPr>
        <w:t>”</w:t>
      </w:r>
      <w:r w:rsidRPr="00B77F65">
        <w:rPr>
          <w:color w:val="auto"/>
          <w:sz w:val="22"/>
        </w:rPr>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(4) </w:t>
      </w:r>
      <w:r w:rsidR="00B77F65" w:rsidRPr="00B77F65">
        <w:rPr>
          <w:color w:val="auto"/>
          <w:sz w:val="22"/>
        </w:rPr>
        <w:t>“</w:t>
      </w:r>
      <w:r w:rsidRPr="00B77F65">
        <w:rPr>
          <w:color w:val="auto"/>
          <w:sz w:val="22"/>
        </w:rPr>
        <w:t>Destination cruise</w:t>
      </w:r>
      <w:r w:rsidR="00B77F65" w:rsidRPr="00B77F65">
        <w:rPr>
          <w:color w:val="auto"/>
          <w:sz w:val="22"/>
        </w:rPr>
        <w:t>”</w:t>
      </w:r>
      <w:r w:rsidRPr="00B77F65">
        <w:rPr>
          <w:color w:val="auto"/>
          <w:sz w:val="22"/>
        </w:rPr>
        <w:t xml:space="preserve"> means a cruise in which a vessel makes one or more intervening stops.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(5) </w:t>
      </w:r>
      <w:r w:rsidR="00B77F65" w:rsidRPr="00B77F65">
        <w:rPr>
          <w:color w:val="auto"/>
          <w:sz w:val="22"/>
        </w:rPr>
        <w:t>“</w:t>
      </w:r>
      <w:r w:rsidRPr="00B77F65">
        <w:rPr>
          <w:color w:val="auto"/>
          <w:sz w:val="22"/>
        </w:rPr>
        <w:t>Passenger cruise liner</w:t>
      </w:r>
      <w:r w:rsidR="00B77F65" w:rsidRPr="00B77F65">
        <w:rPr>
          <w:color w:val="auto"/>
          <w:sz w:val="22"/>
        </w:rPr>
        <w:t>”</w:t>
      </w:r>
      <w:r w:rsidRPr="00B77F65">
        <w:rPr>
          <w:color w:val="auto"/>
          <w:sz w:val="22"/>
        </w:rPr>
        <w:t xml:space="preserve"> means a vessel that: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(a) has a draft that is equal to or larger than the controlled depth of the intercoastal waterway as determined by the United States Army Corps of Engineers;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(b) provides separate passenger cabins, including bathroom or head facilities, in a size reasonably suitable to accommodate living and sleeping space in a ratio of at least one cabin for every four passengers;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(c) contains kitchen or galley facilities and dining facilities reasonably suitable to offer and accommodate all of the vessel</w:t>
      </w:r>
      <w:r w:rsidR="00B77F65" w:rsidRPr="00B77F65">
        <w:rPr>
          <w:color w:val="auto"/>
          <w:sz w:val="22"/>
        </w:rPr>
        <w:t>’</w:t>
      </w:r>
      <w:r w:rsidRPr="00B77F65">
        <w:rPr>
          <w:color w:val="auto"/>
          <w:sz w:val="22"/>
        </w:rPr>
        <w:t xml:space="preserve">s passengers at seated meals in no more than two sittings for each of the meals at breakfast, lunch, and dinner times;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(d) offers other support facilities and services including, but not limited to, exercise facilities, gift shops, medical services, and musical programs;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(e) is principally engaged in entertaining and transporting passengers on destination cruises;  and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(f) is certified or authorized by the United States Coast Guard or equivalent foreign authority to carry passengers for hire upon the open ocean without navigational limitations. </w:t>
      </w: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(6) </w:t>
      </w:r>
      <w:r w:rsidR="00B77F65" w:rsidRPr="00B77F65">
        <w:rPr>
          <w:color w:val="auto"/>
          <w:sz w:val="22"/>
        </w:rPr>
        <w:t>“</w:t>
      </w:r>
      <w:r w:rsidRPr="00B77F65">
        <w:rPr>
          <w:color w:val="auto"/>
          <w:sz w:val="22"/>
        </w:rPr>
        <w:t>Per passenger</w:t>
      </w:r>
      <w:r w:rsidR="00B77F65" w:rsidRPr="00B77F65">
        <w:rPr>
          <w:color w:val="auto"/>
          <w:sz w:val="22"/>
        </w:rPr>
        <w:t>”</w:t>
      </w:r>
      <w:r w:rsidRPr="00B77F65">
        <w:rPr>
          <w:color w:val="auto"/>
          <w:sz w:val="22"/>
        </w:rPr>
        <w:t xml:space="preserve"> means the number of passengers allowed on a vessel pursuant to its United States Coast Guard certificate of documentation or equivalent foreign documentation.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2DE8" w:rsidRDefault="007E2DE8"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200.</w:t>
      </w:r>
      <w:r w:rsidR="003767C4" w:rsidRPr="00B77F65">
        <w:rPr>
          <w:color w:val="auto"/>
          <w:sz w:val="22"/>
        </w:rPr>
        <w:t xml:space="preserve"> Delegation of power to regulate gambling vessels to counties and municipalities;  exception.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(B) The General Assembly specifically retains and does not delegate to a county or municipality the authority to regulate or prohibit gambling on passenger cruise liners, as defined in this chapter, which is </w:t>
      </w:r>
      <w:r w:rsidRPr="00B77F65">
        <w:rPr>
          <w:color w:val="auto"/>
          <w:sz w:val="22"/>
        </w:rPr>
        <w:lastRenderedPageBreak/>
        <w:t xml:space="preserve">conferred to this State by the United States Congress pursuant to the Johnson Act, as amended, 15 U.S.C. Sections 1171 through 1177. </w:t>
      </w: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(C) The authority delegated to a county or municipality under subsection (A) is delegated pursuant to Chapter 9 of Title 4 and Chapter 7 of Title 5, Code of Laws of South Carolina.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210.</w:t>
      </w:r>
      <w:r w:rsidR="003767C4" w:rsidRPr="00B77F65">
        <w:rPr>
          <w:color w:val="auto"/>
          <w:sz w:val="22"/>
        </w:rPr>
        <w:t xml:space="preserve"> Penalties under ordinances adopted pursuant to </w:t>
      </w:r>
      <w:r w:rsidRPr="00B77F65">
        <w:rPr>
          <w:color w:val="auto"/>
          <w:sz w:val="22"/>
        </w:rPr>
        <w:t xml:space="preserve">Section </w:t>
      </w:r>
      <w:r w:rsidR="003767C4" w:rsidRPr="00B77F65">
        <w:rPr>
          <w:color w:val="auto"/>
          <w:sz w:val="22"/>
        </w:rPr>
        <w:t>3</w:t>
      </w:r>
      <w:r w:rsidRPr="00B77F65">
        <w:rPr>
          <w:color w:val="auto"/>
          <w:sz w:val="22"/>
        </w:rPr>
        <w:noBreakHyphen/>
      </w:r>
      <w:r w:rsidR="003767C4" w:rsidRPr="00B77F65">
        <w:rPr>
          <w:color w:val="auto"/>
          <w:sz w:val="22"/>
        </w:rPr>
        <w:t>11</w:t>
      </w:r>
      <w:r w:rsidRPr="00B77F65">
        <w:rPr>
          <w:color w:val="auto"/>
          <w:sz w:val="22"/>
        </w:rPr>
        <w:noBreakHyphen/>
      </w:r>
      <w:r w:rsidR="003767C4" w:rsidRPr="00B77F65">
        <w:rPr>
          <w:color w:val="auto"/>
          <w:sz w:val="22"/>
        </w:rPr>
        <w:t xml:space="preserve">200.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A county or municipality adopting an ordinance regulating or prohibiting gambling vessels pursuant to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200 may assess only a civil penalty of not more than one hundred dollars per passenger for each violation, with an aggregate total in penalties not to exceed fifty thousand dollars per vessel for a twenty</w:t>
      </w:r>
      <w:r w:rsidR="00B77F65" w:rsidRPr="00B77F65">
        <w:rPr>
          <w:color w:val="auto"/>
          <w:sz w:val="22"/>
        </w:rPr>
        <w:noBreakHyphen/>
      </w:r>
      <w:r w:rsidRPr="00B77F65">
        <w:rPr>
          <w:color w:val="auto"/>
          <w:sz w:val="22"/>
        </w:rPr>
        <w:t>four hour period.    Additionally, a county or municipality may obtain injunctive relief against a person for violation of an ordinance regulating or prohibiting gambling vessels pursuant to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 xml:space="preserve">200.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300.</w:t>
      </w:r>
      <w:r w:rsidR="003767C4" w:rsidRPr="00B77F65">
        <w:rPr>
          <w:color w:val="auto"/>
          <w:sz w:val="22"/>
        </w:rPr>
        <w:t xml:space="preserve"> Grant of additional authority;  vessels outside territorial waters of state;  passenger cruise liner exception.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200 through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210, which authorize exercise of this state</w:t>
      </w:r>
      <w:r w:rsidR="00B77F65" w:rsidRPr="00B77F65">
        <w:rPr>
          <w:color w:val="auto"/>
          <w:sz w:val="22"/>
        </w:rPr>
        <w:t>’</w:t>
      </w:r>
      <w:r w:rsidRPr="00B77F65">
        <w:rPr>
          <w:color w:val="auto"/>
          <w:sz w:val="22"/>
        </w:rPr>
        <w:t xml:space="preserve">s Johnson Act authority pursuant to 15 U.S.C. Sections 1171 through 1177, except for passenger cruise liners.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 </w:t>
      </w: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(C) A county or municipality is prohibited from regulating or prohibiting gambling on passenger cruise liners, as defined in this chapter.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310.</w:t>
      </w:r>
      <w:r w:rsidR="003767C4" w:rsidRPr="00B77F65">
        <w:rPr>
          <w:color w:val="auto"/>
          <w:sz w:val="22"/>
        </w:rPr>
        <w:t xml:space="preserve"> Penalties under ordinances adopted pursuant to </w:t>
      </w:r>
      <w:r w:rsidRPr="00B77F65">
        <w:rPr>
          <w:color w:val="auto"/>
          <w:sz w:val="22"/>
        </w:rPr>
        <w:t xml:space="preserve">Section </w:t>
      </w:r>
      <w:r w:rsidR="003767C4" w:rsidRPr="00B77F65">
        <w:rPr>
          <w:color w:val="auto"/>
          <w:sz w:val="22"/>
        </w:rPr>
        <w:t>3</w:t>
      </w:r>
      <w:r w:rsidRPr="00B77F65">
        <w:rPr>
          <w:color w:val="auto"/>
          <w:sz w:val="22"/>
        </w:rPr>
        <w:noBreakHyphen/>
      </w:r>
      <w:r w:rsidR="003767C4" w:rsidRPr="00B77F65">
        <w:rPr>
          <w:color w:val="auto"/>
          <w:sz w:val="22"/>
        </w:rPr>
        <w:t>11</w:t>
      </w:r>
      <w:r w:rsidRPr="00B77F65">
        <w:rPr>
          <w:color w:val="auto"/>
          <w:sz w:val="22"/>
        </w:rPr>
        <w:noBreakHyphen/>
      </w:r>
      <w:r w:rsidR="003767C4" w:rsidRPr="00B77F65">
        <w:rPr>
          <w:color w:val="auto"/>
          <w:sz w:val="22"/>
        </w:rPr>
        <w:t xml:space="preserve">300.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A county or municipality adopting an ordinance regulating or prohibiting gambling vessels pursuant to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300 may assess only a civil penalty of not more than one hundred dollars per passenger for each violation, with an aggregate total in penalties not to exceed fifty thousand dollars per gambling vessel for a twenty</w:t>
      </w:r>
      <w:r w:rsidR="00B77F65" w:rsidRPr="00B77F65">
        <w:rPr>
          <w:color w:val="auto"/>
          <w:sz w:val="22"/>
        </w:rPr>
        <w:noBreakHyphen/>
      </w:r>
      <w:r w:rsidRPr="00B77F65">
        <w:rPr>
          <w:color w:val="auto"/>
          <w:sz w:val="22"/>
        </w:rPr>
        <w:t>four hour period.  Additionally, a county or municipality may obtain injunctive relief against a person for violation of an ordinance regulating or prohibiting gambling vessels pursuant to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 xml:space="preserve">300.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320.</w:t>
      </w:r>
      <w:r w:rsidR="003767C4" w:rsidRPr="00B77F65">
        <w:rPr>
          <w:color w:val="auto"/>
          <w:sz w:val="22"/>
        </w:rPr>
        <w:t xml:space="preserve"> Cruise liners.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Any county or municipal ordinance prohibiting or regulating gambling or gambling vessels pursuant to Sections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200 or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 xml:space="preserve">300 must not be construed to prohibit or regulate a passenger cruise liner from having gambling devices on board so long as there is no gambling allowed while the passenger cruise liner is within the territorial waters of the State.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400.</w:t>
      </w:r>
      <w:r w:rsidR="003767C4" w:rsidRPr="00B77F65">
        <w:rPr>
          <w:color w:val="auto"/>
          <w:sz w:val="22"/>
        </w:rPr>
        <w:t xml:space="preserve"> Applicability to United States and foreign</w:t>
      </w:r>
      <w:r w:rsidRPr="00B77F65">
        <w:rPr>
          <w:color w:val="auto"/>
          <w:sz w:val="22"/>
        </w:rPr>
        <w:noBreakHyphen/>
      </w:r>
      <w:r w:rsidR="003767C4" w:rsidRPr="00B77F65">
        <w:rPr>
          <w:color w:val="auto"/>
          <w:sz w:val="22"/>
        </w:rPr>
        <w:t xml:space="preserve">flagged vessels;  imposition and collection of surcharges on gambling vessel ticket sales;  phasing out of gambling business following enactment of prohibiting ordinance.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(A) This chapter does not apply to any gambling activity conducted on United States</w:t>
      </w:r>
      <w:r w:rsidR="00B77F65" w:rsidRPr="00B77F65">
        <w:rPr>
          <w:color w:val="auto"/>
          <w:sz w:val="22"/>
        </w:rPr>
        <w:noBreakHyphen/>
      </w:r>
      <w:r w:rsidRPr="00B77F65">
        <w:rPr>
          <w:color w:val="auto"/>
          <w:sz w:val="22"/>
        </w:rPr>
        <w:t>flagged or foreign</w:t>
      </w:r>
      <w:r w:rsidR="00B77F65" w:rsidRPr="00B77F65">
        <w:rPr>
          <w:color w:val="auto"/>
          <w:sz w:val="22"/>
        </w:rPr>
        <w:noBreakHyphen/>
      </w:r>
      <w:r w:rsidRPr="00B77F65">
        <w:rPr>
          <w:color w:val="auto"/>
          <w:sz w:val="22"/>
        </w:rPr>
        <w:t xml:space="preserve">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(B) The provisions of this chapter must not be construed to: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(1) repeal or modify any other provision of law relating to gambling, or any existing county or municipal ordinance regulating or prohibiting gambling or gambling vessels;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(2) repeal or modify any law with regard to bingo or the operation of a device or machine pursuant to Section 12</w:t>
      </w:r>
      <w:r w:rsidR="00B77F65" w:rsidRPr="00B77F65">
        <w:rPr>
          <w:color w:val="auto"/>
          <w:sz w:val="22"/>
        </w:rPr>
        <w:noBreakHyphen/>
      </w:r>
      <w:r w:rsidRPr="00B77F65">
        <w:rPr>
          <w:color w:val="auto"/>
          <w:sz w:val="22"/>
        </w:rPr>
        <w:t>21</w:t>
      </w:r>
      <w:r w:rsidR="00B77F65" w:rsidRPr="00B77F65">
        <w:rPr>
          <w:color w:val="auto"/>
          <w:sz w:val="22"/>
        </w:rPr>
        <w:noBreakHyphen/>
      </w:r>
      <w:r w:rsidRPr="00B77F65">
        <w:rPr>
          <w:color w:val="auto"/>
          <w:sz w:val="22"/>
        </w:rPr>
        <w:t xml:space="preserve">2720(A)(3);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(3) allow or permit gambling aboard any vessel, gambling vessel, or passenger cruise liner within the territorial waters of the State;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(4) preclude prosecution for any other applicable gambling offense under state law;  or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(5) preclude prosecution for violations of 15 U.S.C. Sections 1172, 1173, 1174, or 1175, to the extent not otherwise prohibited by provisions of the South Carolina Constitution.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(C)(1) For purposes of this section, </w:t>
      </w:r>
      <w:r w:rsidR="00B77F65" w:rsidRPr="00B77F65">
        <w:rPr>
          <w:color w:val="auto"/>
          <w:sz w:val="22"/>
        </w:rPr>
        <w:t>“</w:t>
      </w:r>
      <w:r w:rsidRPr="00B77F65">
        <w:rPr>
          <w:color w:val="auto"/>
          <w:sz w:val="22"/>
        </w:rPr>
        <w:t>gross proceeds</w:t>
      </w:r>
      <w:r w:rsidR="00B77F65" w:rsidRPr="00B77F65">
        <w:rPr>
          <w:color w:val="auto"/>
          <w:sz w:val="22"/>
        </w:rPr>
        <w:t>”</w:t>
      </w:r>
      <w:r w:rsidRPr="00B77F65">
        <w:rPr>
          <w:color w:val="auto"/>
          <w:sz w:val="22"/>
        </w:rPr>
        <w:t xml:space="preserve"> means the total amount wagered or otherwise paid, in cash or credit, by a passenger or user of a gambling device aboard a gambling vessel.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(ii) A gambling vessel that fails to deliver the report of winnings and losses to the department may be assessed a civil penalty up to the amount of one hundred dollars per day per gambling device for each day that the report is late.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(iii) The department must make this information available, on a quarterly basis, to the governing body of the county or municipality from which the gambling vessel originates and to the general public.  In addition, quarterly reports must be submitted to the Governor, the President Pro Tempore of the Senate, and the Speaker of the House of Representatives.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(iv) The department is authorized to promulgate regulations to implement the provisions of this subsection. </w:t>
      </w: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(D) When a county or municipality enacts an ordinance pursuant to Sections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200 or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200 or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 xml:space="preserve">500(A).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2DE8" w:rsidRDefault="007E2DE8"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b/>
          <w:color w:val="auto"/>
          <w:sz w:val="22"/>
        </w:rPr>
        <w:t xml:space="preserve">SECTION </w:t>
      </w:r>
      <w:r w:rsidR="003767C4" w:rsidRPr="00B77F65">
        <w:rPr>
          <w:b/>
          <w:color w:val="auto"/>
          <w:sz w:val="22"/>
        </w:rPr>
        <w:t>3</w:t>
      </w:r>
      <w:r w:rsidRPr="00B77F65">
        <w:rPr>
          <w:b/>
          <w:color w:val="auto"/>
          <w:sz w:val="22"/>
        </w:rPr>
        <w:noBreakHyphen/>
      </w:r>
      <w:r w:rsidR="003767C4" w:rsidRPr="00B77F65">
        <w:rPr>
          <w:b/>
          <w:color w:val="auto"/>
          <w:sz w:val="22"/>
        </w:rPr>
        <w:t>11</w:t>
      </w:r>
      <w:r w:rsidRPr="00B77F65">
        <w:rPr>
          <w:b/>
          <w:color w:val="auto"/>
          <w:sz w:val="22"/>
        </w:rPr>
        <w:noBreakHyphen/>
      </w:r>
      <w:r w:rsidR="003767C4" w:rsidRPr="00B77F65">
        <w:rPr>
          <w:b/>
          <w:color w:val="auto"/>
          <w:sz w:val="22"/>
        </w:rPr>
        <w:t>500.</w:t>
      </w:r>
      <w:r w:rsidR="003767C4" w:rsidRPr="00B77F65">
        <w:rPr>
          <w:color w:val="auto"/>
          <w:sz w:val="22"/>
        </w:rPr>
        <w:t xml:space="preserve"> Prior ordinances;  text of ordinance prohibiting gambling vessels. </w:t>
      </w:r>
    </w:p>
    <w:p w:rsid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(B) A county or municipality, in order to prohibit gambling vessels in accordance with the provisions of this chapter, may, after the effective date of this chapter, enact an ordinance that substantially reads as follows: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(1) The governing body of ______________________, in accordance with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100(3) of the 1976 Code.  Nothing herein shall be construed to prohibit, regulate, or otherwise apply to passenger cruise liners, as defined by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100(5) of the 1976 Code, nor does this ordinance apply to vessels described in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 xml:space="preserve">400(A) of the 1976 Code.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(2) The governing body of _________________, in accordance with the authority delegated by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300 of the Code of Laws of South Carolina, 1976, as amended, hereby prohibits within its jurisdiction the docking and embarkation or disembarkation of passengers aboard gambling vessels, as defined in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100(3) of the 1976 Code.  Nothing herein shall be construed to prohibit, regulate, or otherwise apply to passenger cruise liners, as defined by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100(5) of the 1976 Code, nor shall this ordinance apply to vessels described in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 xml:space="preserve">400(A) of the 1976 Code.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(3) Anyone violating this ordinance must be assessed a civil penalty of not more than one hundred dollars per passenger for each violation, with an aggregate total in penalties not to exceed fifty thousand dollars per gambling vessel for a twenty</w:t>
      </w:r>
      <w:r w:rsidR="00B77F65" w:rsidRPr="00B77F65">
        <w:rPr>
          <w:color w:val="auto"/>
          <w:sz w:val="22"/>
        </w:rPr>
        <w:noBreakHyphen/>
      </w:r>
      <w:r w:rsidRPr="00B77F65">
        <w:rPr>
          <w:color w:val="auto"/>
          <w:sz w:val="22"/>
        </w:rPr>
        <w:t xml:space="preserve">four hour period.  For the purposes of this ordinance, </w:t>
      </w:r>
      <w:r w:rsidR="00B77F65" w:rsidRPr="00B77F65">
        <w:rPr>
          <w:color w:val="auto"/>
          <w:sz w:val="22"/>
        </w:rPr>
        <w:t>“</w:t>
      </w:r>
      <w:r w:rsidRPr="00B77F65">
        <w:rPr>
          <w:color w:val="auto"/>
          <w:sz w:val="22"/>
        </w:rPr>
        <w:t>per passenger</w:t>
      </w:r>
      <w:r w:rsidR="00B77F65" w:rsidRPr="00B77F65">
        <w:rPr>
          <w:color w:val="auto"/>
          <w:sz w:val="22"/>
        </w:rPr>
        <w:t>”</w:t>
      </w:r>
      <w:r w:rsidRPr="00B77F65">
        <w:rPr>
          <w:color w:val="auto"/>
          <w:sz w:val="22"/>
        </w:rPr>
        <w:t xml:space="preserve"> is defined as the total number of passengers allowed on a vessel pursuant to its United States Coast Guard certificate of documentation or equivalent foreign documentation.  In addition, violations of this ordinance are subject to injunctive relief. </w:t>
      </w:r>
    </w:p>
    <w:p w:rsidR="00015EDD"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(4) The exceptions for passenger cruise liners and Section 3</w:t>
      </w:r>
      <w:r w:rsidR="00B77F65" w:rsidRPr="00B77F65">
        <w:rPr>
          <w:color w:val="auto"/>
          <w:sz w:val="22"/>
        </w:rPr>
        <w:noBreakHyphen/>
      </w:r>
      <w:r w:rsidRPr="00B77F65">
        <w:rPr>
          <w:color w:val="auto"/>
          <w:sz w:val="22"/>
        </w:rPr>
        <w:t>11</w:t>
      </w:r>
      <w:r w:rsidR="00B77F65" w:rsidRPr="00B77F65">
        <w:rPr>
          <w:color w:val="auto"/>
          <w:sz w:val="22"/>
        </w:rPr>
        <w:noBreakHyphen/>
      </w:r>
      <w:r w:rsidRPr="00B77F65">
        <w:rPr>
          <w:color w:val="auto"/>
          <w:sz w:val="22"/>
        </w:rPr>
        <w:t xml:space="preserve">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 </w:t>
      </w:r>
    </w:p>
    <w:p w:rsidR="00B77F65" w:rsidRPr="00B77F65" w:rsidRDefault="003767C4"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77F65">
        <w:rPr>
          <w:color w:val="auto"/>
          <w:sz w:val="22"/>
        </w:rPr>
        <w:t xml:space="preserve">(5)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B77F65" w:rsidRPr="00B77F65" w:rsidRDefault="00B77F65" w:rsidP="00B77F6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77F65" w:rsidRPr="00B77F65" w:rsidSect="00B77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EDD" w:rsidRDefault="003767C4">
      <w:pPr>
        <w:spacing w:after="0"/>
      </w:pPr>
      <w:r>
        <w:separator/>
      </w:r>
    </w:p>
  </w:endnote>
  <w:endnote w:type="continuationSeparator" w:id="1">
    <w:p w:rsidR="00015EDD" w:rsidRDefault="003767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5" w:rsidRPr="00B77F65" w:rsidRDefault="00B77F65" w:rsidP="00B77F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EDD" w:rsidRPr="00B77F65" w:rsidRDefault="00015EDD" w:rsidP="00B77F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5" w:rsidRPr="00B77F65" w:rsidRDefault="00B77F65" w:rsidP="00B77F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EDD" w:rsidRDefault="003767C4">
      <w:pPr>
        <w:spacing w:after="0"/>
      </w:pPr>
      <w:r>
        <w:separator/>
      </w:r>
    </w:p>
  </w:footnote>
  <w:footnote w:type="continuationSeparator" w:id="1">
    <w:p w:rsidR="00015EDD" w:rsidRDefault="003767C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5" w:rsidRPr="00B77F65" w:rsidRDefault="00B77F65" w:rsidP="00B77F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5" w:rsidRPr="00B77F65" w:rsidRDefault="00B77F65" w:rsidP="00B77F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65" w:rsidRPr="00B77F65" w:rsidRDefault="00B77F65" w:rsidP="00B77F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6A17"/>
    <w:rsid w:val="00015EDD"/>
    <w:rsid w:val="002B2D91"/>
    <w:rsid w:val="003767C4"/>
    <w:rsid w:val="003C5AB6"/>
    <w:rsid w:val="007E2DE8"/>
    <w:rsid w:val="00966A17"/>
    <w:rsid w:val="00B77F65"/>
    <w:rsid w:val="00EE058D"/>
    <w:rsid w:val="00EE526C"/>
    <w:rsid w:val="00F01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ED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F6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F65"/>
    <w:rPr>
      <w:rFonts w:ascii="Tahoma" w:hAnsi="Tahoma" w:cs="Tahoma"/>
      <w:color w:val="000000"/>
      <w:sz w:val="16"/>
      <w:szCs w:val="16"/>
    </w:rPr>
  </w:style>
  <w:style w:type="paragraph" w:styleId="Header">
    <w:name w:val="header"/>
    <w:basedOn w:val="Normal"/>
    <w:link w:val="HeaderChar"/>
    <w:uiPriority w:val="99"/>
    <w:semiHidden/>
    <w:unhideWhenUsed/>
    <w:rsid w:val="00B77F65"/>
    <w:pPr>
      <w:tabs>
        <w:tab w:val="center" w:pos="4680"/>
        <w:tab w:val="right" w:pos="9360"/>
      </w:tabs>
      <w:spacing w:after="0"/>
    </w:pPr>
  </w:style>
  <w:style w:type="character" w:customStyle="1" w:styleId="HeaderChar">
    <w:name w:val="Header Char"/>
    <w:basedOn w:val="DefaultParagraphFont"/>
    <w:link w:val="Header"/>
    <w:uiPriority w:val="99"/>
    <w:semiHidden/>
    <w:rsid w:val="00B77F6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77F65"/>
    <w:pPr>
      <w:tabs>
        <w:tab w:val="center" w:pos="4680"/>
        <w:tab w:val="right" w:pos="9360"/>
      </w:tabs>
      <w:spacing w:after="0"/>
    </w:pPr>
  </w:style>
  <w:style w:type="character" w:customStyle="1" w:styleId="FooterChar">
    <w:name w:val="Footer Char"/>
    <w:basedOn w:val="DefaultParagraphFont"/>
    <w:link w:val="Footer"/>
    <w:uiPriority w:val="99"/>
    <w:semiHidden/>
    <w:rsid w:val="00B77F65"/>
    <w:rPr>
      <w:rFonts w:ascii="Times New Roman" w:hAnsi="Times New Roman" w:cs="Times New Roman"/>
      <w:color w:val="000000"/>
      <w:sz w:val="24"/>
      <w:szCs w:val="24"/>
    </w:rPr>
  </w:style>
  <w:style w:type="character" w:styleId="FootnoteReference">
    <w:name w:val="footnote reference"/>
    <w:basedOn w:val="DefaultParagraphFont"/>
    <w:uiPriority w:val="99"/>
    <w:rsid w:val="00015EDD"/>
    <w:rPr>
      <w:color w:val="0000FF"/>
      <w:position w:val="6"/>
      <w:sz w:val="20"/>
      <w:szCs w:val="20"/>
    </w:rPr>
  </w:style>
  <w:style w:type="character" w:styleId="Hyperlink">
    <w:name w:val="Hyperlink"/>
    <w:basedOn w:val="DefaultParagraphFont"/>
    <w:semiHidden/>
    <w:rsid w:val="007E2D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2885</Words>
  <Characters>15772</Characters>
  <Application>Microsoft Office Word</Application>
  <DocSecurity>0</DocSecurity>
  <Lines>131</Lines>
  <Paragraphs>37</Paragraphs>
  <ScaleCrop>false</ScaleCrop>
  <Company/>
  <LinksUpToDate>false</LinksUpToDate>
  <CharactersWithSpaces>18620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LPITS</dc:creator>
  <cp:keywords/>
  <dc:description/>
  <cp:lastModifiedBy>LPITS</cp:lastModifiedBy>
  <cp:revision>4</cp:revision>
  <dcterms:created xsi:type="dcterms:W3CDTF">2009-04-02T14:59:00Z</dcterms:created>
  <dcterms:modified xsi:type="dcterms:W3CDTF">2009-04-08T14:58:00Z</dcterms:modified>
</cp:coreProperties>
</file>