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C4" w:rsidRDefault="00DE7BC4">
      <w:pPr>
        <w:jc w:val="center"/>
      </w:pPr>
      <w:r>
        <w:t>DISCLAIMER</w:t>
      </w:r>
    </w:p>
    <w:p w:rsidR="00DE7BC4" w:rsidRDefault="00DE7BC4"/>
    <w:p w:rsidR="00DE7BC4" w:rsidRDefault="00DE7BC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E7BC4" w:rsidRDefault="00DE7BC4"/>
    <w:p w:rsidR="00DE7BC4" w:rsidRDefault="00DE7B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7BC4" w:rsidRDefault="00DE7BC4"/>
    <w:p w:rsidR="00DE7BC4" w:rsidRDefault="00DE7B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7BC4" w:rsidRDefault="00DE7BC4"/>
    <w:p w:rsidR="00DE7BC4" w:rsidRDefault="00DE7B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7BC4" w:rsidRDefault="00DE7BC4"/>
    <w:p w:rsidR="00DE7BC4" w:rsidRDefault="00DE7BC4">
      <w:r>
        <w:br w:type="page"/>
      </w:r>
    </w:p>
    <w:p w:rsid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7C9">
        <w:t>CHAPTER 57.</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7C9">
        <w:t xml:space="preserve"> UNIFORM FEDERAL TAX LIEN REGISTRATION ACT</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10.</w:t>
      </w:r>
      <w:r w:rsidR="00DB77CA" w:rsidRPr="00C967C9">
        <w:t xml:space="preserve"> Short title.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This chapter may be cited as the </w:t>
      </w:r>
      <w:r w:rsidR="00C967C9" w:rsidRPr="00C967C9">
        <w:t>“</w:t>
      </w:r>
      <w:r w:rsidRPr="00C967C9">
        <w:t>Uniform Federal Tax Lien Registration Act.</w:t>
      </w:r>
      <w:r w:rsidR="00C967C9" w:rsidRPr="00C967C9">
        <w:t>”</w:t>
      </w:r>
      <w:r w:rsidRPr="00C967C9">
        <w:t xml:space="preserve">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20.</w:t>
      </w:r>
      <w:r w:rsidR="00DB77CA" w:rsidRPr="00C967C9">
        <w:t xml:space="preserve"> Declaration of purpose.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This chapter is passed for the purpose of authorizing the filing of notices of lien in accordance with the provisions of Subchapter C, Chapter 64 of Subtitle F of the Internal Revenue Code of 1986, including its predecessors and as it may be amended.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30.</w:t>
      </w:r>
      <w:r w:rsidR="00DB77CA" w:rsidRPr="00C967C9">
        <w:t xml:space="preserve"> Place of filing liens and discharges thereof.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40.</w:t>
      </w:r>
      <w:r w:rsidR="00DB77CA" w:rsidRPr="00C967C9">
        <w:t xml:space="preserve"> Federal tax lien index;  filing notice of lien.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C967C9" w:rsidRPr="00C967C9">
        <w:t>’</w:t>
      </w:r>
      <w:r w:rsidRPr="00C967C9">
        <w:t xml:space="preserve">s serial number of such notice, the date and hour of filing and the amount of tax with interest, penalties and costs.  He shall file and keep all original notices so filed in numerical order in a file or files designated </w:t>
      </w:r>
      <w:r w:rsidR="00C967C9" w:rsidRPr="00C967C9">
        <w:t>“</w:t>
      </w:r>
      <w:r w:rsidRPr="00C967C9">
        <w:t>Federal Tax Lien Notices.</w:t>
      </w:r>
      <w:r w:rsidR="00C967C9" w:rsidRPr="00C967C9">
        <w:t>”</w:t>
      </w:r>
      <w:r w:rsidRPr="00C967C9">
        <w:t xml:space="preserve">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50.</w:t>
      </w:r>
      <w:r w:rsidR="00DB77CA" w:rsidRPr="00C967C9">
        <w:t xml:space="preserve"> Entering certificates of discharge in Federal tax lien index.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55.</w:t>
      </w:r>
      <w:r w:rsidR="00DB77CA" w:rsidRPr="00C967C9">
        <w:t xml:space="preserve"> Filing notices of liens arising from the Comprehensive Environmental Response, Compensation, and Liability Act of 1980.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60.</w:t>
      </w:r>
      <w:r w:rsidR="00DB77CA" w:rsidRPr="00C967C9">
        <w:t xml:space="preserve"> Supplying files and indexes.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Such Federal tax lien index and file or files for such Federal tax lien notices shall be furnished to the county register of deeds or clerk of court in this State in the manner provided by law for the furnishing of books in which deeds are recorded.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rPr>
          <w:b/>
        </w:rPr>
        <w:t xml:space="preserve">SECTION </w:t>
      </w:r>
      <w:r w:rsidR="00DB77CA" w:rsidRPr="00C967C9">
        <w:rPr>
          <w:b/>
        </w:rPr>
        <w:t>12</w:t>
      </w:r>
      <w:r w:rsidRPr="00C967C9">
        <w:rPr>
          <w:b/>
        </w:rPr>
        <w:noBreakHyphen/>
      </w:r>
      <w:r w:rsidR="00DB77CA" w:rsidRPr="00C967C9">
        <w:rPr>
          <w:b/>
        </w:rPr>
        <w:t>57</w:t>
      </w:r>
      <w:r w:rsidRPr="00C967C9">
        <w:rPr>
          <w:b/>
        </w:rPr>
        <w:noBreakHyphen/>
      </w:r>
      <w:r w:rsidR="00DB77CA" w:rsidRPr="00C967C9">
        <w:rPr>
          <w:b/>
        </w:rPr>
        <w:t>70.</w:t>
      </w:r>
      <w:r w:rsidR="00DB77CA" w:rsidRPr="00C967C9">
        <w:t xml:space="preserve"> Construction. </w:t>
      </w:r>
    </w:p>
    <w:p w:rsid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7C9" w:rsidRPr="00C967C9" w:rsidRDefault="00DB77CA"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7C9">
        <w:t xml:space="preserve">This chapter shall be so interpreted and construed as to effectuate its general purpose to make uniform the law of those states which enact substantially identical legislation. </w:t>
      </w:r>
    </w:p>
    <w:p w:rsidR="00C967C9" w:rsidRPr="00C967C9" w:rsidRDefault="00C967C9"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967C9" w:rsidRDefault="000F013B" w:rsidP="00C96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967C9" w:rsidSect="00C967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C9" w:rsidRDefault="00C967C9" w:rsidP="00C967C9">
      <w:r>
        <w:separator/>
      </w:r>
    </w:p>
  </w:endnote>
  <w:endnote w:type="continuationSeparator" w:id="1">
    <w:p w:rsidR="00C967C9" w:rsidRDefault="00C967C9" w:rsidP="00C96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C9" w:rsidRDefault="00C967C9" w:rsidP="00C967C9">
      <w:r>
        <w:separator/>
      </w:r>
    </w:p>
  </w:footnote>
  <w:footnote w:type="continuationSeparator" w:id="1">
    <w:p w:rsidR="00C967C9" w:rsidRDefault="00C967C9" w:rsidP="00C96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C9" w:rsidRPr="00C967C9" w:rsidRDefault="00C967C9" w:rsidP="00C967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B77CA"/>
    <w:rsid w:val="0006261B"/>
    <w:rsid w:val="000638C0"/>
    <w:rsid w:val="000D5AB8"/>
    <w:rsid w:val="000F013B"/>
    <w:rsid w:val="001C75A2"/>
    <w:rsid w:val="00207CDA"/>
    <w:rsid w:val="0027637E"/>
    <w:rsid w:val="00276406"/>
    <w:rsid w:val="00277858"/>
    <w:rsid w:val="00277ABE"/>
    <w:rsid w:val="004E3C74"/>
    <w:rsid w:val="008078F9"/>
    <w:rsid w:val="00B406E9"/>
    <w:rsid w:val="00C967C9"/>
    <w:rsid w:val="00DB77CA"/>
    <w:rsid w:val="00DE7BC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967C9"/>
    <w:pPr>
      <w:tabs>
        <w:tab w:val="center" w:pos="4680"/>
        <w:tab w:val="right" w:pos="9360"/>
      </w:tabs>
    </w:pPr>
  </w:style>
  <w:style w:type="character" w:customStyle="1" w:styleId="HeaderChar">
    <w:name w:val="Header Char"/>
    <w:basedOn w:val="DefaultParagraphFont"/>
    <w:link w:val="Header"/>
    <w:uiPriority w:val="99"/>
    <w:semiHidden/>
    <w:rsid w:val="00C967C9"/>
    <w:rPr>
      <w:sz w:val="22"/>
      <w:szCs w:val="24"/>
    </w:rPr>
  </w:style>
  <w:style w:type="paragraph" w:styleId="Footer">
    <w:name w:val="footer"/>
    <w:basedOn w:val="Normal"/>
    <w:link w:val="FooterChar"/>
    <w:uiPriority w:val="99"/>
    <w:semiHidden/>
    <w:unhideWhenUsed/>
    <w:rsid w:val="00C967C9"/>
    <w:pPr>
      <w:tabs>
        <w:tab w:val="center" w:pos="4680"/>
        <w:tab w:val="right" w:pos="9360"/>
      </w:tabs>
    </w:pPr>
  </w:style>
  <w:style w:type="character" w:customStyle="1" w:styleId="FooterChar">
    <w:name w:val="Footer Char"/>
    <w:basedOn w:val="DefaultParagraphFont"/>
    <w:link w:val="Footer"/>
    <w:uiPriority w:val="99"/>
    <w:semiHidden/>
    <w:rsid w:val="00C967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