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71" w:rsidRDefault="006A6771">
      <w:pPr>
        <w:jc w:val="center"/>
      </w:pPr>
      <w:r>
        <w:t>DISCLAIMER</w:t>
      </w:r>
    </w:p>
    <w:p w:rsidR="006A6771" w:rsidRDefault="006A6771"/>
    <w:p w:rsidR="006A6771" w:rsidRDefault="006A677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A6771" w:rsidRDefault="006A6771"/>
    <w:p w:rsidR="006A6771" w:rsidRDefault="006A67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6771" w:rsidRDefault="006A6771"/>
    <w:p w:rsidR="006A6771" w:rsidRDefault="006A67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6771" w:rsidRDefault="006A6771"/>
    <w:p w:rsidR="006A6771" w:rsidRDefault="006A67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6771" w:rsidRDefault="006A6771"/>
    <w:p w:rsidR="006A6771" w:rsidRDefault="006A6771">
      <w:r>
        <w:br w:type="page"/>
      </w:r>
    </w:p>
    <w:p w:rsid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124">
        <w:t>CHAPTER 36.</w:t>
      </w: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124"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124">
        <w:t xml:space="preserve"> SOUTH CAROLINA FRIVOLOUS CIVIL PROCEEDINGS SANCTIONS ACT</w:t>
      </w:r>
    </w:p>
    <w:p w:rsidR="00AA6124" w:rsidRP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rPr>
          <w:b/>
        </w:rPr>
        <w:t xml:space="preserve">SECTION </w:t>
      </w:r>
      <w:r w:rsidR="0017151B" w:rsidRPr="00AA6124">
        <w:rPr>
          <w:b/>
        </w:rPr>
        <w:t>15</w:t>
      </w:r>
      <w:r w:rsidRPr="00AA6124">
        <w:rPr>
          <w:b/>
        </w:rPr>
        <w:noBreakHyphen/>
      </w:r>
      <w:r w:rsidR="0017151B" w:rsidRPr="00AA6124">
        <w:rPr>
          <w:b/>
        </w:rPr>
        <w:t>36</w:t>
      </w:r>
      <w:r w:rsidRPr="00AA6124">
        <w:rPr>
          <w:b/>
        </w:rPr>
        <w:noBreakHyphen/>
      </w:r>
      <w:r w:rsidR="0017151B" w:rsidRPr="00AA6124">
        <w:rPr>
          <w:b/>
        </w:rPr>
        <w:t>10.</w:t>
      </w:r>
      <w:r w:rsidR="0017151B" w:rsidRPr="00AA6124">
        <w:t xml:space="preserve"> Frivolous lawsuits;  signing pleadings;  imposition of sanctions;  notice and opportunity to respond;  reporting violations. </w:t>
      </w: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(2) A document filed in a civil or administrative action by a party who is not represented by an attorney must be signed by the party and must include the address and telephone number of the party.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(3) The signature of an attorney or a pro se litigant constitutes a certificate to the court that: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(a) the person has read the document;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(c) a reasonable attorney in the same circumstances would believe that his procurement, initiation, continuation, or defense of a civil cause is not intended merely to harass or injure the other party;  and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(4) An attorney or pro se litigant participating in a civil or administrative action or defense may be sanctioned for: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(a) filing a frivolous pleading, motion, or document if: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(i) the person has not read the frivolous pleading, motion, or document;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(ii) a reasonable attorney in the same circumstances would believe that under the facts, his claim or defense was clearly not warranted under existing law and that a good faith or reasonable argument did not exist for the extension, modification, or reversal of existing law;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(iii) a reasonable attorney presented with the same circumstances would believe that the procurement, initiation, continuation, or defense of a civil cause was intended merely to harass or injure the other party;  or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(b) making frivolous arguments a reasonable attorney would believe were not reasonably supported by the facts;  or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(c) making frivolous arguments that a reasonable attorney would believe were not warranted under the existing law or if there is no good faith argument that exists for the extension, modification, or reversal of existing law.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(B)(1) If a document is not signed or does not otherwise comply with this section, it must be stricken unless it is signed promptly or amended to comply with this section after the omission is called to the attention of the attorney or the party.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t>
      </w:r>
      <w:r w:rsidRPr="00AA6124">
        <w:lastRenderedPageBreak/>
        <w:t xml:space="preserve">was frivolous.  An attorney, party, or pro se litigant shall be sanctioned for a frivolous claim or defense if the court finds the attorney, party, or pro se litigant failed to comply with one of the following conditions: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(a) a reasonable attorney in the same circumstances would believe that under the facts, his claim or defense was clearly not warranted under existing law and that a good faith or reasonable argument did not exist for the extension, modification, or reversal of existing law;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(b) a reasonable attorney in the same circumstances would believe that his procurement, initiation, continuation, or defense of the civil suit was intended merely to harass or injure the other party;  or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(2) Unless the court finds by a preponderance of the evidence that an attorney, party, or pro se litigant engaged in advancing a frivolous claim or defense, the attorney, party, or pro se litigant shall not be sanctioned.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(E) In determining if an attorney, party, or a pro se litigant has violated the provisions of this section, the court shall take into account: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 the number of parties;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(2) the complexity of the claims and defenses;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(3) the length of time available to the attorney, party, or pro se litigant to investigate and conduct discovery for alleged violations of the provisions of subsection (A)(4);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(4) information disclosed or undisclosed to the attorney, party, or pro se litigant through discovery and adequate investigation;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(5) previous violations of the provisions of this section;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(6) the response, if any, of the attorney, party, or pro se litigant to the allegation that he violated the provisions of this section;  and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(7) other factors the court considers just, equitable, or appropriate under the circumstances.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(F) In determining whether sanctions are appropriate or the severity of a sanction, the court shall consider previous violations of the provisions of this section.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(G) Sanctions may include: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(1) an order for the party represented by an attorney or pro se litigant to pay the reasonable costs and attorney</w:t>
      </w:r>
      <w:r w:rsidR="00AA6124" w:rsidRPr="00AA6124">
        <w:t>’</w:t>
      </w:r>
      <w:r w:rsidRPr="00AA6124">
        <w:t xml:space="preserve">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(2) an order for the attorney to pay a reasonable fine to the court;  or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(3) a directive of a nonmonetary nature, including injunctive relief, designed to deter a future frivolous action or an action in bad faith.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(H) If the court imposes a sanction on an attorney in violation of the provisions of this section, the court shall report its findings to the South Carolina Commission of Lawyer Conduct.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(I) This act shall not alter the South Carolina Rules of Civil Procedure or the South Carolina Appellate Court Rules.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lastRenderedPageBreak/>
        <w:t xml:space="preserve">(K) The provisions of this section apply in addition to all other remedies available at law or in equity.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(L) The amount requested for damages in a pleading may not be considered in a determination of a violation of the provisions of this section. </w:t>
      </w:r>
    </w:p>
    <w:p w:rsidR="00AA6124"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(M) All violations of the provisions of this section must be reported to the South Carolina Supreme Court and a public record must be maintained and reported annually to the Governor, Senate, and House of Representatives. </w:t>
      </w:r>
    </w:p>
    <w:p w:rsidR="00AA6124" w:rsidRP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rPr>
          <w:b/>
        </w:rPr>
        <w:t xml:space="preserve">SECTIONS </w:t>
      </w:r>
      <w:r w:rsidR="0017151B" w:rsidRPr="00AA6124">
        <w:rPr>
          <w:b/>
          <w:bCs/>
        </w:rPr>
        <w:t>15</w:t>
      </w:r>
      <w:r w:rsidRPr="00AA6124">
        <w:rPr>
          <w:b/>
          <w:bCs/>
        </w:rPr>
        <w:noBreakHyphen/>
      </w:r>
      <w:r w:rsidR="0017151B" w:rsidRPr="00AA6124">
        <w:rPr>
          <w:b/>
          <w:bCs/>
        </w:rPr>
        <w:t>36</w:t>
      </w:r>
      <w:r w:rsidRPr="00AA6124">
        <w:rPr>
          <w:b/>
          <w:bCs/>
        </w:rPr>
        <w:noBreakHyphen/>
      </w:r>
      <w:r w:rsidR="0017151B" w:rsidRPr="00AA6124">
        <w:rPr>
          <w:b/>
          <w:bCs/>
        </w:rPr>
        <w:t>20 to 15</w:t>
      </w:r>
      <w:r w:rsidRPr="00AA6124">
        <w:rPr>
          <w:b/>
          <w:bCs/>
        </w:rPr>
        <w:noBreakHyphen/>
      </w:r>
      <w:r w:rsidR="0017151B" w:rsidRPr="00AA6124">
        <w:rPr>
          <w:b/>
          <w:bCs/>
        </w:rPr>
        <w:t>36</w:t>
      </w:r>
      <w:r w:rsidRPr="00AA6124">
        <w:rPr>
          <w:b/>
          <w:bCs/>
        </w:rPr>
        <w:noBreakHyphen/>
      </w:r>
      <w:r w:rsidR="0017151B" w:rsidRPr="00AA6124">
        <w:rPr>
          <w:b/>
          <w:bCs/>
        </w:rPr>
        <w:t>50.</w:t>
      </w:r>
      <w:r w:rsidR="0017151B" w:rsidRPr="00AA6124">
        <w:t xml:space="preserve"> </w:t>
      </w:r>
      <w:r w:rsidR="0017151B" w:rsidRPr="00AA6124">
        <w:rPr>
          <w:bCs/>
        </w:rPr>
        <w:t>Repealed</w:t>
      </w:r>
      <w:r w:rsidR="0017151B" w:rsidRPr="00AA6124">
        <w:t xml:space="preserve"> by 2005 Act No. 27, </w:t>
      </w:r>
      <w:r w:rsidRPr="00AA6124">
        <w:t xml:space="preserve">Section </w:t>
      </w:r>
      <w:r w:rsidR="0017151B" w:rsidRPr="00AA6124">
        <w:t xml:space="preserve">12, eff July 1, 2005. </w:t>
      </w: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771" w:rsidRDefault="006A6771"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rPr>
          <w:b/>
        </w:rPr>
        <w:t xml:space="preserve">SECTIONS </w:t>
      </w:r>
      <w:r w:rsidR="0017151B" w:rsidRPr="00AA6124">
        <w:rPr>
          <w:b/>
          <w:bCs/>
        </w:rPr>
        <w:t>15</w:t>
      </w:r>
      <w:r w:rsidRPr="00AA6124">
        <w:rPr>
          <w:b/>
          <w:bCs/>
        </w:rPr>
        <w:noBreakHyphen/>
      </w:r>
      <w:r w:rsidR="0017151B" w:rsidRPr="00AA6124">
        <w:rPr>
          <w:b/>
          <w:bCs/>
        </w:rPr>
        <w:t>36</w:t>
      </w:r>
      <w:r w:rsidRPr="00AA6124">
        <w:rPr>
          <w:b/>
          <w:bCs/>
        </w:rPr>
        <w:noBreakHyphen/>
      </w:r>
      <w:r w:rsidR="0017151B" w:rsidRPr="00AA6124">
        <w:rPr>
          <w:b/>
          <w:bCs/>
        </w:rPr>
        <w:t>20 to 15</w:t>
      </w:r>
      <w:r w:rsidRPr="00AA6124">
        <w:rPr>
          <w:b/>
          <w:bCs/>
        </w:rPr>
        <w:noBreakHyphen/>
      </w:r>
      <w:r w:rsidR="0017151B" w:rsidRPr="00AA6124">
        <w:rPr>
          <w:b/>
          <w:bCs/>
        </w:rPr>
        <w:t>36</w:t>
      </w:r>
      <w:r w:rsidRPr="00AA6124">
        <w:rPr>
          <w:b/>
          <w:bCs/>
        </w:rPr>
        <w:noBreakHyphen/>
      </w:r>
      <w:r w:rsidR="0017151B" w:rsidRPr="00AA6124">
        <w:rPr>
          <w:b/>
          <w:bCs/>
        </w:rPr>
        <w:t>50.</w:t>
      </w:r>
      <w:r w:rsidR="0017151B" w:rsidRPr="00AA6124">
        <w:t xml:space="preserve"> </w:t>
      </w:r>
      <w:r w:rsidR="0017151B" w:rsidRPr="00AA6124">
        <w:rPr>
          <w:bCs/>
        </w:rPr>
        <w:t>Repealed</w:t>
      </w:r>
      <w:r w:rsidR="0017151B" w:rsidRPr="00AA6124">
        <w:t xml:space="preserve"> by 2005 Act No. 27, </w:t>
      </w:r>
      <w:r w:rsidRPr="00AA6124">
        <w:t xml:space="preserve">Section </w:t>
      </w:r>
      <w:r w:rsidR="0017151B" w:rsidRPr="00AA6124">
        <w:t xml:space="preserve">12, eff July 1, 2005. </w:t>
      </w: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771" w:rsidRDefault="006A6771"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rPr>
          <w:b/>
        </w:rPr>
        <w:t xml:space="preserve">SECTIONS </w:t>
      </w:r>
      <w:r w:rsidR="0017151B" w:rsidRPr="00AA6124">
        <w:rPr>
          <w:b/>
          <w:bCs/>
        </w:rPr>
        <w:t>15</w:t>
      </w:r>
      <w:r w:rsidRPr="00AA6124">
        <w:rPr>
          <w:b/>
          <w:bCs/>
        </w:rPr>
        <w:noBreakHyphen/>
      </w:r>
      <w:r w:rsidR="0017151B" w:rsidRPr="00AA6124">
        <w:rPr>
          <w:b/>
          <w:bCs/>
        </w:rPr>
        <w:t>36</w:t>
      </w:r>
      <w:r w:rsidRPr="00AA6124">
        <w:rPr>
          <w:b/>
          <w:bCs/>
        </w:rPr>
        <w:noBreakHyphen/>
      </w:r>
      <w:r w:rsidR="0017151B" w:rsidRPr="00AA6124">
        <w:rPr>
          <w:b/>
          <w:bCs/>
        </w:rPr>
        <w:t>20 to 15</w:t>
      </w:r>
      <w:r w:rsidRPr="00AA6124">
        <w:rPr>
          <w:b/>
          <w:bCs/>
        </w:rPr>
        <w:noBreakHyphen/>
      </w:r>
      <w:r w:rsidR="0017151B" w:rsidRPr="00AA6124">
        <w:rPr>
          <w:b/>
          <w:bCs/>
        </w:rPr>
        <w:t>36</w:t>
      </w:r>
      <w:r w:rsidRPr="00AA6124">
        <w:rPr>
          <w:b/>
          <w:bCs/>
        </w:rPr>
        <w:noBreakHyphen/>
      </w:r>
      <w:r w:rsidR="0017151B" w:rsidRPr="00AA6124">
        <w:rPr>
          <w:b/>
          <w:bCs/>
        </w:rPr>
        <w:t>50.</w:t>
      </w:r>
      <w:r w:rsidR="0017151B" w:rsidRPr="00AA6124">
        <w:t xml:space="preserve"> </w:t>
      </w:r>
      <w:r w:rsidR="0017151B" w:rsidRPr="00AA6124">
        <w:rPr>
          <w:bCs/>
        </w:rPr>
        <w:t>Repealed</w:t>
      </w:r>
      <w:r w:rsidR="0017151B" w:rsidRPr="00AA6124">
        <w:t xml:space="preserve"> by 2005 Act No. 27, </w:t>
      </w:r>
      <w:r w:rsidRPr="00AA6124">
        <w:t xml:space="preserve">Section </w:t>
      </w:r>
      <w:r w:rsidR="0017151B" w:rsidRPr="00AA6124">
        <w:t xml:space="preserve">12, eff July 1, 2005. </w:t>
      </w: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771" w:rsidRDefault="006A6771"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rPr>
          <w:b/>
        </w:rPr>
        <w:t xml:space="preserve">SECTIONS </w:t>
      </w:r>
      <w:r w:rsidR="0017151B" w:rsidRPr="00AA6124">
        <w:rPr>
          <w:b/>
          <w:bCs/>
        </w:rPr>
        <w:t>15</w:t>
      </w:r>
      <w:r w:rsidRPr="00AA6124">
        <w:rPr>
          <w:b/>
          <w:bCs/>
        </w:rPr>
        <w:noBreakHyphen/>
      </w:r>
      <w:r w:rsidR="0017151B" w:rsidRPr="00AA6124">
        <w:rPr>
          <w:b/>
          <w:bCs/>
        </w:rPr>
        <w:t>36</w:t>
      </w:r>
      <w:r w:rsidRPr="00AA6124">
        <w:rPr>
          <w:b/>
          <w:bCs/>
        </w:rPr>
        <w:noBreakHyphen/>
      </w:r>
      <w:r w:rsidR="0017151B" w:rsidRPr="00AA6124">
        <w:rPr>
          <w:b/>
          <w:bCs/>
        </w:rPr>
        <w:t>20 to 15</w:t>
      </w:r>
      <w:r w:rsidRPr="00AA6124">
        <w:rPr>
          <w:b/>
          <w:bCs/>
        </w:rPr>
        <w:noBreakHyphen/>
      </w:r>
      <w:r w:rsidR="0017151B" w:rsidRPr="00AA6124">
        <w:rPr>
          <w:b/>
          <w:bCs/>
        </w:rPr>
        <w:t>36</w:t>
      </w:r>
      <w:r w:rsidRPr="00AA6124">
        <w:rPr>
          <w:b/>
          <w:bCs/>
        </w:rPr>
        <w:noBreakHyphen/>
      </w:r>
      <w:r w:rsidR="0017151B" w:rsidRPr="00AA6124">
        <w:rPr>
          <w:b/>
          <w:bCs/>
        </w:rPr>
        <w:t>50.</w:t>
      </w:r>
      <w:r w:rsidR="0017151B" w:rsidRPr="00AA6124">
        <w:t xml:space="preserve"> </w:t>
      </w:r>
      <w:r w:rsidR="0017151B" w:rsidRPr="00AA6124">
        <w:rPr>
          <w:bCs/>
        </w:rPr>
        <w:t>Repealed</w:t>
      </w:r>
      <w:r w:rsidR="0017151B" w:rsidRPr="00AA6124">
        <w:t xml:space="preserve"> by 2005 Act No. 27, </w:t>
      </w:r>
      <w:r w:rsidRPr="00AA6124">
        <w:t xml:space="preserve">Section </w:t>
      </w:r>
      <w:r w:rsidR="0017151B" w:rsidRPr="00AA6124">
        <w:t xml:space="preserve">12, eff July 1, 2005. </w:t>
      </w: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771" w:rsidRDefault="006A6771"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rPr>
          <w:b/>
        </w:rPr>
        <w:t xml:space="preserve">SECTION </w:t>
      </w:r>
      <w:r w:rsidR="0017151B" w:rsidRPr="00AA6124">
        <w:rPr>
          <w:b/>
        </w:rPr>
        <w:t>15</w:t>
      </w:r>
      <w:r w:rsidRPr="00AA6124">
        <w:rPr>
          <w:b/>
        </w:rPr>
        <w:noBreakHyphen/>
      </w:r>
      <w:r w:rsidR="0017151B" w:rsidRPr="00AA6124">
        <w:rPr>
          <w:b/>
        </w:rPr>
        <w:t>36</w:t>
      </w:r>
      <w:r w:rsidRPr="00AA6124">
        <w:rPr>
          <w:b/>
        </w:rPr>
        <w:noBreakHyphen/>
      </w:r>
      <w:r w:rsidR="0017151B" w:rsidRPr="00AA6124">
        <w:rPr>
          <w:b/>
        </w:rPr>
        <w:t>100.</w:t>
      </w:r>
      <w:r w:rsidR="0017151B" w:rsidRPr="00AA6124">
        <w:t xml:space="preserve"> Complaint in actions for damages alleging professional negligence;  contemporaneous affidavit of expert specifying negligent act or omission. </w:t>
      </w:r>
    </w:p>
    <w:p w:rsid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(A) As used in this section, </w:t>
      </w:r>
      <w:r w:rsidR="00AA6124" w:rsidRPr="00AA6124">
        <w:t>“</w:t>
      </w:r>
      <w:r w:rsidRPr="00AA6124">
        <w:t>expert witness</w:t>
      </w:r>
      <w:r w:rsidR="00AA6124" w:rsidRPr="00AA6124">
        <w:t>”</w:t>
      </w:r>
      <w:r w:rsidRPr="00AA6124">
        <w:t xml:space="preserve"> means an expert who is qualified as to the acceptable conduct of the professional whose conduct is at issue and who: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 is licensed by an appropriate regulatory agency to practice his or her profession in the location in which the expert practices or teaches;  and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(2)(a) is board certified by a national or international association or academy which administers written and oral examinations for certification in the area of practice or specialty about which the opinion on the standard of care is offered;  or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(b) has actual professional knowledge and experience in the area of practice or specialty in which the opinion is to be given as the result of having been regularly engaged in: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(i) the active practice of the area of specialty of his or her profession for at least three of the last five years immediately preceding the opinion;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(iii) any combination of the active practice or the teaching of his or her profession in a manner which meets the requirements of subitems (i) and (ii) for at least three of the last five years immediately preceding the opinion;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(3) is an individual not covered by subsections (A)(1) or (2), that has scientific, technical, or other specialized knowledge which may assist the trier of fact in understanding the evidence and determining a fact or issue in the case, by reason of the individual</w:t>
      </w:r>
      <w:r w:rsidR="00AA6124" w:rsidRPr="00AA6124">
        <w:t>’</w:t>
      </w:r>
      <w:r w:rsidRPr="00AA6124">
        <w:t>s study, experience, or both.  However, an affidavit filed pursuant to subsection (B) by an expert qualified under this subsection must contain an explanation of the expert</w:t>
      </w:r>
      <w:r w:rsidR="00AA6124" w:rsidRPr="00AA6124">
        <w:t>’</w:t>
      </w:r>
      <w:r w:rsidRPr="00AA6124">
        <w:t>s credentials and why the expert is qualified to conduct the review required by subsection (B). The defendant is entitled to challenge the sufficiency of the expert</w:t>
      </w:r>
      <w:r w:rsidR="00AA6124" w:rsidRPr="00AA6124">
        <w:t>’</w:t>
      </w:r>
      <w:r w:rsidRPr="00AA6124">
        <w:t xml:space="preserve">s credentials pursuant to subsection (E).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(B) Except as provided in Section 15</w:t>
      </w:r>
      <w:r w:rsidR="00AA6124" w:rsidRPr="00AA6124">
        <w:noBreakHyphen/>
      </w:r>
      <w:r w:rsidRPr="00AA6124">
        <w:t>79</w:t>
      </w:r>
      <w:r w:rsidR="00AA6124" w:rsidRPr="00AA6124">
        <w:noBreakHyphen/>
      </w:r>
      <w:r w:rsidRPr="00AA6124">
        <w:t xml:space="preserve">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AA6124" w:rsidRPr="00AA6124">
        <w:noBreakHyphen/>
      </w:r>
      <w:r w:rsidRPr="00AA6124">
        <w:t xml:space="preserve">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(E) If a plaintiff files an affidavit which is allegedly defective, and the defendant to whom it pertains alleges, with specificity, by motion to dismiss filed contemporaneously with its initial responsive pleading, that the affidavit is defective, the plaintiff</w:t>
      </w:r>
      <w:r w:rsidR="00AA6124" w:rsidRPr="00AA6124">
        <w:t>’</w:t>
      </w:r>
      <w:r w:rsidRPr="00AA6124">
        <w:t xml:space="preserve">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(G) This section applies to the following professions: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 architects;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(2) attorneys at law;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(3) certified public accountants;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(4) chiropractors;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(5) dentists;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(6) land surveyors;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(7) medical doctors;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(8) marriage and family therapists;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(9) nurses;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(10) occupational therapists;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(11) optometrists;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(12) osteopathic physicians;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(13) pharmacists;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(14) physical therapists;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(15) physicians</w:t>
      </w:r>
      <w:r w:rsidR="00AA6124" w:rsidRPr="00AA6124">
        <w:t>’</w:t>
      </w:r>
      <w:r w:rsidRPr="00AA6124">
        <w:t xml:space="preserve"> assistants;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(16) professional counselors;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(17) professional engineers;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(18) podiatrists;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(19) psychologists;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(20) radiological technicians; </w:t>
      </w:r>
    </w:p>
    <w:p w:rsidR="0017151B"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(21) respiratory therapists;  and </w:t>
      </w:r>
    </w:p>
    <w:p w:rsidR="00AA6124" w:rsidRPr="00AA6124" w:rsidRDefault="0017151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124">
        <w:t xml:space="preserve">(22) veterinarians. </w:t>
      </w:r>
    </w:p>
    <w:p w:rsidR="00AA6124" w:rsidRPr="00AA6124" w:rsidRDefault="00AA6124"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A6124" w:rsidRDefault="000F013B" w:rsidP="00AA6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A6124" w:rsidSect="00AA61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124" w:rsidRDefault="00AA6124" w:rsidP="00AA6124">
      <w:r>
        <w:separator/>
      </w:r>
    </w:p>
  </w:endnote>
  <w:endnote w:type="continuationSeparator" w:id="1">
    <w:p w:rsidR="00AA6124" w:rsidRDefault="00AA6124" w:rsidP="00AA6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24" w:rsidRPr="00AA6124" w:rsidRDefault="00AA6124" w:rsidP="00AA61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24" w:rsidRPr="00AA6124" w:rsidRDefault="00AA6124" w:rsidP="00AA61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24" w:rsidRPr="00AA6124" w:rsidRDefault="00AA6124" w:rsidP="00AA61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124" w:rsidRDefault="00AA6124" w:rsidP="00AA6124">
      <w:r>
        <w:separator/>
      </w:r>
    </w:p>
  </w:footnote>
  <w:footnote w:type="continuationSeparator" w:id="1">
    <w:p w:rsidR="00AA6124" w:rsidRDefault="00AA6124" w:rsidP="00AA6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24" w:rsidRPr="00AA6124" w:rsidRDefault="00AA6124" w:rsidP="00AA61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24" w:rsidRPr="00AA6124" w:rsidRDefault="00AA6124" w:rsidP="00AA61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24" w:rsidRPr="00AA6124" w:rsidRDefault="00AA6124" w:rsidP="00AA61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7151B"/>
    <w:rsid w:val="0006261B"/>
    <w:rsid w:val="000638C0"/>
    <w:rsid w:val="000D5AB8"/>
    <w:rsid w:val="000E2EF1"/>
    <w:rsid w:val="000F013B"/>
    <w:rsid w:val="0017151B"/>
    <w:rsid w:val="0027637E"/>
    <w:rsid w:val="00276406"/>
    <w:rsid w:val="00277858"/>
    <w:rsid w:val="004D49A2"/>
    <w:rsid w:val="004E3C74"/>
    <w:rsid w:val="00531A79"/>
    <w:rsid w:val="006A6771"/>
    <w:rsid w:val="008078F9"/>
    <w:rsid w:val="00AA6124"/>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A6124"/>
    <w:pPr>
      <w:tabs>
        <w:tab w:val="center" w:pos="4680"/>
        <w:tab w:val="right" w:pos="9360"/>
      </w:tabs>
    </w:pPr>
  </w:style>
  <w:style w:type="character" w:customStyle="1" w:styleId="HeaderChar">
    <w:name w:val="Header Char"/>
    <w:basedOn w:val="DefaultParagraphFont"/>
    <w:link w:val="Header"/>
    <w:uiPriority w:val="99"/>
    <w:semiHidden/>
    <w:rsid w:val="00AA6124"/>
    <w:rPr>
      <w:sz w:val="22"/>
      <w:szCs w:val="24"/>
    </w:rPr>
  </w:style>
  <w:style w:type="paragraph" w:styleId="Footer">
    <w:name w:val="footer"/>
    <w:basedOn w:val="Normal"/>
    <w:link w:val="FooterChar"/>
    <w:uiPriority w:val="99"/>
    <w:semiHidden/>
    <w:unhideWhenUsed/>
    <w:rsid w:val="00AA6124"/>
    <w:pPr>
      <w:tabs>
        <w:tab w:val="center" w:pos="4680"/>
        <w:tab w:val="right" w:pos="9360"/>
      </w:tabs>
    </w:pPr>
  </w:style>
  <w:style w:type="character" w:customStyle="1" w:styleId="FooterChar">
    <w:name w:val="Footer Char"/>
    <w:basedOn w:val="DefaultParagraphFont"/>
    <w:link w:val="Footer"/>
    <w:uiPriority w:val="99"/>
    <w:semiHidden/>
    <w:rsid w:val="00AA612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2690</Words>
  <Characters>15336</Characters>
  <Application>Microsoft Office Word</Application>
  <DocSecurity>0</DocSecurity>
  <Lines>127</Lines>
  <Paragraphs>35</Paragraphs>
  <ScaleCrop>false</ScaleCrop>
  <Company/>
  <LinksUpToDate>false</LinksUpToDate>
  <CharactersWithSpaces>17991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2009-04-07T20:00:00Z</dcterms:modified>
</cp:coreProperties>
</file>