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84" w:rsidRPr="00420DE9" w:rsidRDefault="00F71784" w:rsidP="00420DE9">
      <w:pPr>
        <w:spacing w:after="0"/>
        <w:jc w:val="center"/>
        <w:rPr>
          <w:sz w:val="22"/>
          <w:szCs w:val="22"/>
        </w:rPr>
      </w:pPr>
      <w:r w:rsidRPr="00420DE9">
        <w:rPr>
          <w:sz w:val="22"/>
          <w:szCs w:val="22"/>
        </w:rPr>
        <w:t>DISCLAIMER</w:t>
      </w:r>
    </w:p>
    <w:p w:rsidR="00F71784" w:rsidRPr="00420DE9" w:rsidRDefault="00F71784" w:rsidP="00420DE9">
      <w:pPr>
        <w:spacing w:after="0"/>
        <w:rPr>
          <w:sz w:val="22"/>
          <w:szCs w:val="22"/>
        </w:rPr>
      </w:pPr>
    </w:p>
    <w:p w:rsidR="00F71784" w:rsidRPr="00420DE9" w:rsidRDefault="00F71784" w:rsidP="00420DE9">
      <w:pPr>
        <w:spacing w:after="0"/>
        <w:jc w:val="both"/>
        <w:rPr>
          <w:sz w:val="22"/>
          <w:szCs w:val="22"/>
        </w:rPr>
      </w:pPr>
      <w:r w:rsidRPr="00420DE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71784" w:rsidRPr="00420DE9" w:rsidRDefault="00F71784" w:rsidP="00420DE9">
      <w:pPr>
        <w:spacing w:after="0"/>
        <w:rPr>
          <w:sz w:val="22"/>
          <w:szCs w:val="22"/>
        </w:rPr>
      </w:pPr>
    </w:p>
    <w:p w:rsidR="00F71784" w:rsidRPr="00420DE9" w:rsidRDefault="00F71784" w:rsidP="00420DE9">
      <w:pPr>
        <w:spacing w:after="0"/>
        <w:jc w:val="both"/>
        <w:rPr>
          <w:sz w:val="22"/>
          <w:szCs w:val="22"/>
        </w:rPr>
      </w:pPr>
      <w:r w:rsidRPr="00420DE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1784" w:rsidRPr="00420DE9" w:rsidRDefault="00F71784" w:rsidP="00420DE9">
      <w:pPr>
        <w:spacing w:after="0"/>
        <w:rPr>
          <w:sz w:val="22"/>
          <w:szCs w:val="22"/>
        </w:rPr>
      </w:pPr>
    </w:p>
    <w:p w:rsidR="00F71784" w:rsidRPr="00420DE9" w:rsidRDefault="00F71784" w:rsidP="00420DE9">
      <w:pPr>
        <w:spacing w:after="0"/>
        <w:jc w:val="both"/>
        <w:rPr>
          <w:sz w:val="22"/>
          <w:szCs w:val="22"/>
        </w:rPr>
      </w:pPr>
      <w:r w:rsidRPr="00420DE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1784" w:rsidRPr="00420DE9" w:rsidRDefault="00F71784" w:rsidP="00420DE9">
      <w:pPr>
        <w:spacing w:after="0"/>
        <w:rPr>
          <w:sz w:val="22"/>
          <w:szCs w:val="22"/>
        </w:rPr>
      </w:pPr>
    </w:p>
    <w:p w:rsidR="00F71784" w:rsidRPr="00420DE9" w:rsidRDefault="00F71784" w:rsidP="00420DE9">
      <w:pPr>
        <w:spacing w:after="0"/>
        <w:jc w:val="both"/>
        <w:rPr>
          <w:sz w:val="22"/>
          <w:szCs w:val="22"/>
        </w:rPr>
      </w:pPr>
      <w:r w:rsidRPr="00420DE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20DE9">
          <w:rPr>
            <w:rStyle w:val="Hyperlink"/>
            <w:sz w:val="22"/>
            <w:szCs w:val="22"/>
          </w:rPr>
          <w:t>LPITS@scstatehouse.net</w:t>
        </w:r>
      </w:hyperlink>
      <w:r w:rsidRPr="00420DE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71784" w:rsidRDefault="00F71784"/>
    <w:p w:rsidR="00F71784" w:rsidRDefault="00F71784">
      <w:pPr>
        <w:widowControl/>
        <w:autoSpaceDE/>
        <w:autoSpaceDN/>
        <w:adjustRightInd/>
        <w:spacing w:after="200" w:line="276" w:lineRule="auto"/>
        <w:rPr>
          <w:color w:val="auto"/>
          <w:sz w:val="22"/>
        </w:rPr>
      </w:pPr>
      <w:r>
        <w:rPr>
          <w:color w:val="auto"/>
          <w:sz w:val="22"/>
        </w:rPr>
        <w:br w:type="page"/>
      </w:r>
    </w:p>
    <w:p w:rsid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F6A84">
        <w:rPr>
          <w:color w:val="auto"/>
          <w:sz w:val="22"/>
        </w:rPr>
        <w:lastRenderedPageBreak/>
        <w:t>CHAPTER 11.</w:t>
      </w: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F6A84"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F6A84">
        <w:rPr>
          <w:color w:val="auto"/>
          <w:sz w:val="22"/>
        </w:rPr>
        <w:t xml:space="preserve"> RELOCATION ASSISTANCE</w:t>
      </w:r>
    </w:p>
    <w:p w:rsidR="00BF6A84" w:rsidRP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b/>
          <w:color w:val="auto"/>
          <w:sz w:val="22"/>
        </w:rPr>
        <w:t xml:space="preserve">SECTION </w:t>
      </w:r>
      <w:r w:rsidR="00C25995" w:rsidRPr="00BF6A84">
        <w:rPr>
          <w:b/>
          <w:color w:val="auto"/>
          <w:sz w:val="22"/>
        </w:rPr>
        <w:t>28</w:t>
      </w:r>
      <w:r w:rsidRPr="00BF6A84">
        <w:rPr>
          <w:b/>
          <w:color w:val="auto"/>
          <w:sz w:val="22"/>
        </w:rPr>
        <w:noBreakHyphen/>
      </w:r>
      <w:r w:rsidR="00C25995" w:rsidRPr="00BF6A84">
        <w:rPr>
          <w:b/>
          <w:color w:val="auto"/>
          <w:sz w:val="22"/>
        </w:rPr>
        <w:t>11</w:t>
      </w:r>
      <w:r w:rsidRPr="00BF6A84">
        <w:rPr>
          <w:b/>
          <w:color w:val="auto"/>
          <w:sz w:val="22"/>
        </w:rPr>
        <w:noBreakHyphen/>
      </w:r>
      <w:r w:rsidR="00C25995" w:rsidRPr="00BF6A84">
        <w:rPr>
          <w:b/>
          <w:color w:val="auto"/>
          <w:sz w:val="22"/>
        </w:rPr>
        <w:t>10.</w:t>
      </w:r>
      <w:r w:rsidR="00C25995" w:rsidRPr="00BF6A84">
        <w:rPr>
          <w:color w:val="auto"/>
          <w:sz w:val="22"/>
        </w:rPr>
        <w:t xml:space="preserve"> Payments and assistance to displaced persons or other entities. </w:t>
      </w: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To the extent that the Uniform Relocation Assistance and Real Property Acquisition Policies Act of 1970 (Public Law 91</w:t>
      </w:r>
      <w:r w:rsidR="00BF6A84" w:rsidRPr="00BF6A84">
        <w:rPr>
          <w:color w:val="auto"/>
          <w:sz w:val="22"/>
        </w:rPr>
        <w:noBreakHyphen/>
      </w:r>
      <w:r w:rsidRPr="00BF6A84">
        <w:rPr>
          <w:color w:val="auto"/>
          <w:sz w:val="22"/>
        </w:rPr>
        <w:t xml:space="preserve">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 </w:t>
      </w:r>
    </w:p>
    <w:p w:rsidR="00BF6A84" w:rsidRP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b/>
          <w:color w:val="auto"/>
          <w:sz w:val="22"/>
        </w:rPr>
        <w:t xml:space="preserve">SECTION </w:t>
      </w:r>
      <w:r w:rsidR="00C25995" w:rsidRPr="00BF6A84">
        <w:rPr>
          <w:b/>
          <w:color w:val="auto"/>
          <w:sz w:val="22"/>
        </w:rPr>
        <w:t>28</w:t>
      </w:r>
      <w:r w:rsidRPr="00BF6A84">
        <w:rPr>
          <w:b/>
          <w:color w:val="auto"/>
          <w:sz w:val="22"/>
        </w:rPr>
        <w:noBreakHyphen/>
      </w:r>
      <w:r w:rsidR="00C25995" w:rsidRPr="00BF6A84">
        <w:rPr>
          <w:b/>
          <w:color w:val="auto"/>
          <w:sz w:val="22"/>
        </w:rPr>
        <w:t>11</w:t>
      </w:r>
      <w:r w:rsidRPr="00BF6A84">
        <w:rPr>
          <w:b/>
          <w:color w:val="auto"/>
          <w:sz w:val="22"/>
        </w:rPr>
        <w:noBreakHyphen/>
      </w:r>
      <w:r w:rsidR="00C25995" w:rsidRPr="00BF6A84">
        <w:rPr>
          <w:b/>
          <w:color w:val="auto"/>
          <w:sz w:val="22"/>
        </w:rPr>
        <w:t>20.</w:t>
      </w:r>
      <w:r w:rsidR="00C25995" w:rsidRPr="00BF6A84">
        <w:rPr>
          <w:color w:val="auto"/>
          <w:sz w:val="22"/>
        </w:rPr>
        <w:t xml:space="preserve"> Costs incurred before July 1, 1972. </w:t>
      </w: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 xml:space="preserve">Where Federal funds are available for payment of such relocation costs, such costs may be paid by such State and local government agencies and instrumentalities and political subdivisions even though they occurred prior to July 1, 1972. </w:t>
      </w:r>
    </w:p>
    <w:p w:rsidR="00BF6A84" w:rsidRP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b/>
          <w:color w:val="auto"/>
          <w:sz w:val="22"/>
        </w:rPr>
        <w:t xml:space="preserve">SECTION </w:t>
      </w:r>
      <w:r w:rsidR="00C25995" w:rsidRPr="00BF6A84">
        <w:rPr>
          <w:b/>
          <w:color w:val="auto"/>
          <w:sz w:val="22"/>
        </w:rPr>
        <w:t>28</w:t>
      </w:r>
      <w:r w:rsidRPr="00BF6A84">
        <w:rPr>
          <w:b/>
          <w:color w:val="auto"/>
          <w:sz w:val="22"/>
        </w:rPr>
        <w:noBreakHyphen/>
      </w:r>
      <w:r w:rsidR="00C25995" w:rsidRPr="00BF6A84">
        <w:rPr>
          <w:b/>
          <w:color w:val="auto"/>
          <w:sz w:val="22"/>
        </w:rPr>
        <w:t>11</w:t>
      </w:r>
      <w:r w:rsidRPr="00BF6A84">
        <w:rPr>
          <w:b/>
          <w:color w:val="auto"/>
          <w:sz w:val="22"/>
        </w:rPr>
        <w:noBreakHyphen/>
      </w:r>
      <w:r w:rsidR="00C25995" w:rsidRPr="00BF6A84">
        <w:rPr>
          <w:b/>
          <w:color w:val="auto"/>
          <w:sz w:val="22"/>
        </w:rPr>
        <w:t>30.</w:t>
      </w:r>
      <w:r w:rsidR="00C25995" w:rsidRPr="00BF6A84">
        <w:rPr>
          <w:color w:val="auto"/>
          <w:sz w:val="22"/>
        </w:rPr>
        <w:t xml:space="preserve"> Reimbursement of property owners for certain expenses. </w:t>
      </w: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6B0C"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To the extent that Title III of the Uniform Relocation Assistance and Real Property Acquisition Policies Act of 1970 (Public Law 91</w:t>
      </w:r>
      <w:r w:rsidR="00BF6A84" w:rsidRPr="00BF6A84">
        <w:rPr>
          <w:color w:val="auto"/>
          <w:sz w:val="22"/>
        </w:rPr>
        <w:noBreakHyphen/>
      </w:r>
      <w:r w:rsidRPr="00BF6A84">
        <w:rPr>
          <w:color w:val="auto"/>
          <w:sz w:val="22"/>
        </w:rPr>
        <w:t xml:space="preserve">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such programs or projects are empowered to expend available public funds as provided hereafter, whether or not the program or project is federally aided. </w:t>
      </w:r>
    </w:p>
    <w:p w:rsidR="00ED6B0C"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 xml:space="preserve">(1) Any person, agency or other entity acquiring real property for public use in any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 (a) recording fees, transfer taxes and similar expenses incidental to conveying such real property to the State;  (b) penalty costs for prepayment for preexisting recorded mortgage entered into in good faith encumbering such real property;  and (c) the pro rata portion of real property taxes paid which are allocable to a period subsequent to the date of vesting title in the agency concerned, or the effective date of possession of such real property by such agency, whichever is the earlier. </w:t>
      </w:r>
    </w:p>
    <w:p w:rsidR="00ED6B0C"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 xml:space="preserve">(2) Where a condemnation proceeding is instituted by the agency to acquire real property for such use and (i) the final judgment is that the real property cannot be acquired by condemnation or (ii)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such sums will be paid by the person, agency or other entity which sought to condemn the property. </w:t>
      </w:r>
    </w:p>
    <w:p w:rsidR="00BF6A84"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(3) Where an inverse condemnation proceeding is instituted by the owner of any right, title or interest in real property because of use of his property in any program or project, the court, rendering a judgment for the plaintiff in such proceeding and awarding compensation for the taking of property, or the attorney effecting a settlement of any such proceeding, shall determine and award or allow to such plaintiff, as a part of such judgment or settlement, such sum as will, in the opinion of the court or the agency</w:t>
      </w:r>
      <w:r w:rsidR="00BF6A84" w:rsidRPr="00BF6A84">
        <w:rPr>
          <w:color w:val="auto"/>
          <w:sz w:val="22"/>
        </w:rPr>
        <w:t>’</w:t>
      </w:r>
      <w:r w:rsidRPr="00BF6A84">
        <w:rPr>
          <w:color w:val="auto"/>
          <w:sz w:val="22"/>
        </w:rPr>
        <w:t xml:space="preserve">s attorney, reimburse such plaintiff for his reasonable costs, disbursements and expenses, including reasonable attorney, appraisal and engineering fees, actually incurred because of such proceeding. </w:t>
      </w:r>
    </w:p>
    <w:p w:rsidR="00BF6A84" w:rsidRP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b/>
          <w:color w:val="auto"/>
          <w:sz w:val="22"/>
        </w:rPr>
        <w:t xml:space="preserve">SECTION </w:t>
      </w:r>
      <w:r w:rsidR="00C25995" w:rsidRPr="00BF6A84">
        <w:rPr>
          <w:b/>
          <w:color w:val="auto"/>
          <w:sz w:val="22"/>
        </w:rPr>
        <w:t>28</w:t>
      </w:r>
      <w:r w:rsidRPr="00BF6A84">
        <w:rPr>
          <w:b/>
          <w:color w:val="auto"/>
          <w:sz w:val="22"/>
        </w:rPr>
        <w:noBreakHyphen/>
      </w:r>
      <w:r w:rsidR="00C25995" w:rsidRPr="00BF6A84">
        <w:rPr>
          <w:b/>
          <w:color w:val="auto"/>
          <w:sz w:val="22"/>
        </w:rPr>
        <w:t>11</w:t>
      </w:r>
      <w:r w:rsidRPr="00BF6A84">
        <w:rPr>
          <w:b/>
          <w:color w:val="auto"/>
          <w:sz w:val="22"/>
        </w:rPr>
        <w:noBreakHyphen/>
      </w:r>
      <w:r w:rsidR="00C25995" w:rsidRPr="00BF6A84">
        <w:rPr>
          <w:b/>
          <w:color w:val="auto"/>
          <w:sz w:val="22"/>
        </w:rPr>
        <w:t>40.</w:t>
      </w:r>
      <w:r w:rsidR="00C25995" w:rsidRPr="00BF6A84">
        <w:rPr>
          <w:color w:val="auto"/>
          <w:sz w:val="22"/>
        </w:rPr>
        <w:t xml:space="preserve"> Contracts between governmental agencies. </w:t>
      </w: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 xml:space="preserve">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 </w:t>
      </w:r>
    </w:p>
    <w:p w:rsidR="00BF6A84" w:rsidRP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b/>
          <w:color w:val="auto"/>
          <w:sz w:val="22"/>
        </w:rPr>
        <w:t xml:space="preserve">SECTION </w:t>
      </w:r>
      <w:r w:rsidR="00C25995" w:rsidRPr="00BF6A84">
        <w:rPr>
          <w:b/>
          <w:color w:val="auto"/>
          <w:sz w:val="22"/>
        </w:rPr>
        <w:t>28</w:t>
      </w:r>
      <w:r w:rsidRPr="00BF6A84">
        <w:rPr>
          <w:b/>
          <w:color w:val="auto"/>
          <w:sz w:val="22"/>
        </w:rPr>
        <w:noBreakHyphen/>
      </w:r>
      <w:r w:rsidR="00C25995" w:rsidRPr="00BF6A84">
        <w:rPr>
          <w:b/>
          <w:color w:val="auto"/>
          <w:sz w:val="22"/>
        </w:rPr>
        <w:t>11</w:t>
      </w:r>
      <w:r w:rsidRPr="00BF6A84">
        <w:rPr>
          <w:b/>
          <w:color w:val="auto"/>
          <w:sz w:val="22"/>
        </w:rPr>
        <w:noBreakHyphen/>
      </w:r>
      <w:r w:rsidR="00C25995" w:rsidRPr="00BF6A84">
        <w:rPr>
          <w:b/>
          <w:color w:val="auto"/>
          <w:sz w:val="22"/>
        </w:rPr>
        <w:t>50.</w:t>
      </w:r>
      <w:r w:rsidR="00C25995" w:rsidRPr="00BF6A84">
        <w:rPr>
          <w:color w:val="auto"/>
          <w:sz w:val="22"/>
        </w:rPr>
        <w:t xml:space="preserve"> Promulgation of rules and regulations. </w:t>
      </w: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 xml:space="preserve">Each State or local government agency or instrumentality or political subdivision of the State may promulgate such rules and regulations as are necessary to carry out the provisions of this chapter. </w:t>
      </w:r>
    </w:p>
    <w:p w:rsidR="00BF6A84" w:rsidRP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b/>
          <w:color w:val="auto"/>
          <w:sz w:val="22"/>
        </w:rPr>
        <w:t xml:space="preserve">SECTION </w:t>
      </w:r>
      <w:r w:rsidR="00C25995" w:rsidRPr="00BF6A84">
        <w:rPr>
          <w:b/>
          <w:color w:val="auto"/>
          <w:sz w:val="22"/>
        </w:rPr>
        <w:t>28</w:t>
      </w:r>
      <w:r w:rsidRPr="00BF6A84">
        <w:rPr>
          <w:b/>
          <w:color w:val="auto"/>
          <w:sz w:val="22"/>
        </w:rPr>
        <w:noBreakHyphen/>
      </w:r>
      <w:r w:rsidR="00C25995" w:rsidRPr="00BF6A84">
        <w:rPr>
          <w:b/>
          <w:color w:val="auto"/>
          <w:sz w:val="22"/>
        </w:rPr>
        <w:t>11</w:t>
      </w:r>
      <w:r w:rsidRPr="00BF6A84">
        <w:rPr>
          <w:b/>
          <w:color w:val="auto"/>
          <w:sz w:val="22"/>
        </w:rPr>
        <w:noBreakHyphen/>
      </w:r>
      <w:r w:rsidR="00C25995" w:rsidRPr="00BF6A84">
        <w:rPr>
          <w:b/>
          <w:color w:val="auto"/>
          <w:sz w:val="22"/>
        </w:rPr>
        <w:t>60.</w:t>
      </w:r>
      <w:r w:rsidR="00C25995" w:rsidRPr="00BF6A84">
        <w:rPr>
          <w:color w:val="auto"/>
          <w:sz w:val="22"/>
        </w:rPr>
        <w:t xml:space="preserve"> Impact for purposes of income tax or public assistance eligibility. </w:t>
      </w: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 xml:space="preserve">No payment received by a person or other legal entity hereunder shall be considered as income or resources for tax purposes or for any purpose related to public assistance received by or due to such person or other legal entity. </w:t>
      </w:r>
    </w:p>
    <w:p w:rsidR="00BF6A84" w:rsidRP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b/>
          <w:color w:val="auto"/>
          <w:sz w:val="22"/>
        </w:rPr>
        <w:t xml:space="preserve">SECTION </w:t>
      </w:r>
      <w:r w:rsidR="00C25995" w:rsidRPr="00BF6A84">
        <w:rPr>
          <w:b/>
          <w:color w:val="auto"/>
          <w:sz w:val="22"/>
        </w:rPr>
        <w:t>28</w:t>
      </w:r>
      <w:r w:rsidRPr="00BF6A84">
        <w:rPr>
          <w:b/>
          <w:color w:val="auto"/>
          <w:sz w:val="22"/>
        </w:rPr>
        <w:noBreakHyphen/>
      </w:r>
      <w:r w:rsidR="00C25995" w:rsidRPr="00BF6A84">
        <w:rPr>
          <w:b/>
          <w:color w:val="auto"/>
          <w:sz w:val="22"/>
        </w:rPr>
        <w:t>11</w:t>
      </w:r>
      <w:r w:rsidRPr="00BF6A84">
        <w:rPr>
          <w:b/>
          <w:color w:val="auto"/>
          <w:sz w:val="22"/>
        </w:rPr>
        <w:noBreakHyphen/>
      </w:r>
      <w:r w:rsidR="00C25995" w:rsidRPr="00BF6A84">
        <w:rPr>
          <w:b/>
          <w:color w:val="auto"/>
          <w:sz w:val="22"/>
        </w:rPr>
        <w:t>70.</w:t>
      </w:r>
      <w:r w:rsidR="00C25995" w:rsidRPr="00BF6A84">
        <w:rPr>
          <w:color w:val="auto"/>
          <w:sz w:val="22"/>
        </w:rPr>
        <w:t xml:space="preserve"> Chapter does not create element of damage in eminent domain. </w:t>
      </w:r>
    </w:p>
    <w:p w:rsid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6A84" w:rsidRPr="00BF6A84" w:rsidRDefault="00C25995"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6A84">
        <w:rPr>
          <w:color w:val="auto"/>
          <w:sz w:val="22"/>
        </w:rPr>
        <w:t xml:space="preserve">Nothing in this chapter shall be construed as creating an element of damage in an eminent domain proceeding. </w:t>
      </w:r>
    </w:p>
    <w:p w:rsidR="00BF6A84" w:rsidRPr="00BF6A84" w:rsidRDefault="00BF6A84" w:rsidP="00BF6A8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F6A84" w:rsidRPr="00BF6A84" w:rsidSect="00BF6A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B0C" w:rsidRDefault="00C25995">
      <w:pPr>
        <w:spacing w:after="0"/>
      </w:pPr>
      <w:r>
        <w:separator/>
      </w:r>
    </w:p>
  </w:endnote>
  <w:endnote w:type="continuationSeparator" w:id="1">
    <w:p w:rsidR="00ED6B0C" w:rsidRDefault="00C259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84" w:rsidRPr="00BF6A84" w:rsidRDefault="00BF6A84" w:rsidP="00BF6A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0C" w:rsidRPr="00BF6A84" w:rsidRDefault="00ED6B0C" w:rsidP="00BF6A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84" w:rsidRPr="00BF6A84" w:rsidRDefault="00BF6A84" w:rsidP="00BF6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B0C" w:rsidRDefault="00C25995">
      <w:pPr>
        <w:spacing w:after="0"/>
      </w:pPr>
      <w:r>
        <w:separator/>
      </w:r>
    </w:p>
  </w:footnote>
  <w:footnote w:type="continuationSeparator" w:id="1">
    <w:p w:rsidR="00ED6B0C" w:rsidRDefault="00C2599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84" w:rsidRPr="00BF6A84" w:rsidRDefault="00BF6A84" w:rsidP="00BF6A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84" w:rsidRPr="00BF6A84" w:rsidRDefault="00BF6A84" w:rsidP="00BF6A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84" w:rsidRPr="00BF6A84" w:rsidRDefault="00BF6A84" w:rsidP="00BF6A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A60"/>
    <w:rsid w:val="000F6035"/>
    <w:rsid w:val="00340347"/>
    <w:rsid w:val="00420DE9"/>
    <w:rsid w:val="00A73A60"/>
    <w:rsid w:val="00BF6A84"/>
    <w:rsid w:val="00C25995"/>
    <w:rsid w:val="00DD457D"/>
    <w:rsid w:val="00DF71B3"/>
    <w:rsid w:val="00ED6B0C"/>
    <w:rsid w:val="00F71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0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6A84"/>
    <w:pPr>
      <w:tabs>
        <w:tab w:val="center" w:pos="4680"/>
        <w:tab w:val="right" w:pos="9360"/>
      </w:tabs>
      <w:spacing w:after="0"/>
    </w:pPr>
  </w:style>
  <w:style w:type="character" w:customStyle="1" w:styleId="HeaderChar">
    <w:name w:val="Header Char"/>
    <w:basedOn w:val="DefaultParagraphFont"/>
    <w:link w:val="Header"/>
    <w:uiPriority w:val="99"/>
    <w:semiHidden/>
    <w:rsid w:val="00BF6A8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F6A84"/>
    <w:pPr>
      <w:tabs>
        <w:tab w:val="center" w:pos="4680"/>
        <w:tab w:val="right" w:pos="9360"/>
      </w:tabs>
      <w:spacing w:after="0"/>
    </w:pPr>
  </w:style>
  <w:style w:type="character" w:customStyle="1" w:styleId="FooterChar">
    <w:name w:val="Footer Char"/>
    <w:basedOn w:val="DefaultParagraphFont"/>
    <w:link w:val="Footer"/>
    <w:uiPriority w:val="99"/>
    <w:semiHidden/>
    <w:rsid w:val="00BF6A84"/>
    <w:rPr>
      <w:rFonts w:ascii="Times New Roman" w:hAnsi="Times New Roman" w:cs="Times New Roman"/>
      <w:color w:val="000000"/>
      <w:sz w:val="24"/>
      <w:szCs w:val="24"/>
    </w:rPr>
  </w:style>
  <w:style w:type="character" w:styleId="FootnoteReference">
    <w:name w:val="footnote reference"/>
    <w:basedOn w:val="DefaultParagraphFont"/>
    <w:uiPriority w:val="99"/>
    <w:rsid w:val="00ED6B0C"/>
    <w:rPr>
      <w:color w:val="0000FF"/>
      <w:position w:val="6"/>
      <w:sz w:val="20"/>
      <w:szCs w:val="20"/>
    </w:rPr>
  </w:style>
  <w:style w:type="paragraph" w:styleId="BalloonText">
    <w:name w:val="Balloon Text"/>
    <w:basedOn w:val="Normal"/>
    <w:link w:val="BalloonTextChar"/>
    <w:uiPriority w:val="99"/>
    <w:semiHidden/>
    <w:unhideWhenUsed/>
    <w:rsid w:val="00340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47"/>
    <w:rPr>
      <w:rFonts w:ascii="Tahoma" w:hAnsi="Tahoma" w:cs="Tahoma"/>
      <w:color w:val="000000"/>
      <w:sz w:val="16"/>
      <w:szCs w:val="16"/>
    </w:rPr>
  </w:style>
  <w:style w:type="character" w:styleId="Hyperlink">
    <w:name w:val="Hyperlink"/>
    <w:basedOn w:val="DefaultParagraphFont"/>
    <w:semiHidden/>
    <w:rsid w:val="00F717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6118</Characters>
  <Application>Microsoft Office Word</Application>
  <DocSecurity>0</DocSecurity>
  <Lines>50</Lines>
  <Paragraphs>14</Paragraphs>
  <ScaleCrop>false</ScaleCrop>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2009-04-02T15:37:00Z</dcterms:created>
  <dcterms:modified xsi:type="dcterms:W3CDTF">2009-04-08T15:09:00Z</dcterms:modified>
</cp:coreProperties>
</file>