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4E" w:rsidRDefault="00C1314E">
      <w:pPr>
        <w:jc w:val="center"/>
      </w:pPr>
      <w:r>
        <w:t>DISCLAIMER</w:t>
      </w:r>
    </w:p>
    <w:p w:rsidR="00C1314E" w:rsidRDefault="00C1314E"/>
    <w:p w:rsidR="00C1314E" w:rsidRDefault="00C131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1314E" w:rsidRDefault="00C1314E"/>
    <w:p w:rsidR="00C1314E" w:rsidRDefault="00C131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14E" w:rsidRDefault="00C1314E"/>
    <w:p w:rsidR="00C1314E" w:rsidRDefault="00C131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14E" w:rsidRDefault="00C1314E"/>
    <w:p w:rsidR="00C1314E" w:rsidRDefault="00C131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314E" w:rsidRDefault="00C1314E"/>
    <w:p w:rsidR="00C1314E" w:rsidRDefault="00C1314E">
      <w:pPr>
        <w:rPr>
          <w:rFonts w:cs="Times New Roman"/>
        </w:rPr>
      </w:pPr>
      <w:r>
        <w:rPr>
          <w:rFonts w:cs="Times New Roman"/>
        </w:rPr>
        <w:br w:type="page"/>
      </w:r>
    </w:p>
    <w:p w:rsid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151">
        <w:rPr>
          <w:rFonts w:cs="Times New Roman"/>
        </w:rPr>
        <w:t>CHAPTER 26.</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151">
        <w:rPr>
          <w:rFonts w:cs="Times New Roman"/>
        </w:rPr>
        <w:t xml:space="preserve"> SOUTH CAROLINA SENTENCING GUIDELINES COMMISSION</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b/>
        </w:rPr>
        <w:t xml:space="preserve">SECTION </w:t>
      </w:r>
      <w:r w:rsidR="00905514" w:rsidRPr="00C94151">
        <w:rPr>
          <w:rFonts w:cs="Times New Roman"/>
          <w:b/>
        </w:rPr>
        <w:t>24</w:t>
      </w:r>
      <w:r w:rsidRPr="00C94151">
        <w:rPr>
          <w:rFonts w:cs="Times New Roman"/>
          <w:b/>
        </w:rPr>
        <w:noBreakHyphen/>
      </w:r>
      <w:r w:rsidR="00905514" w:rsidRPr="00C94151">
        <w:rPr>
          <w:rFonts w:cs="Times New Roman"/>
          <w:b/>
        </w:rPr>
        <w:t>26</w:t>
      </w:r>
      <w:r w:rsidRPr="00C94151">
        <w:rPr>
          <w:rFonts w:cs="Times New Roman"/>
          <w:b/>
        </w:rPr>
        <w:noBreakHyphen/>
      </w:r>
      <w:r w:rsidR="00905514" w:rsidRPr="00C94151">
        <w:rPr>
          <w:rFonts w:cs="Times New Roman"/>
          <w:b/>
        </w:rPr>
        <w:t>10.</w:t>
      </w:r>
      <w:r w:rsidR="00905514" w:rsidRPr="00C94151">
        <w:rPr>
          <w:rFonts w:cs="Times New Roman"/>
        </w:rPr>
        <w:t xml:space="preserve"> Commission established. </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(A) There is established the South Carolina Sentencing Guidelines Commission composed of thirteen voting members as follows: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(1) a justice of the Supreme Court, appointed by the Chief Justice of the Supreme Court;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(2) two circuit court judges, appointed by the Chief Justice of the Supreme Court;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(3) three members of the Senate to be designated by the chairman of the Senate Judiciary Committee;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(4) three members of the House designated by the chairman of the House Judiciary Committee;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(5) an attorney, experienced in the practice of criminal law, appointed by the Governor from a list of candidates submitted by the President of the South Carolina Bar;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(6) the Dean of the Law School of the University of South Carolina or his designee;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(7) the South Carolina Attorney General, or his designee, to serve ex officio;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(8) a solicitor appointed by the Chairman of the South Carolina Circuit Solicitors</w:t>
      </w:r>
      <w:r w:rsidR="00C94151" w:rsidRPr="00C94151">
        <w:rPr>
          <w:rFonts w:cs="Times New Roman"/>
        </w:rPr>
        <w:t>’</w:t>
      </w:r>
      <w:r w:rsidRPr="00C94151">
        <w:rPr>
          <w:rFonts w:cs="Times New Roman"/>
        </w:rPr>
        <w:t xml:space="preserve"> Association.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(B) In addition, there are four nonvoting members of the commission as follows: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(1) the Chief of the State Law Enforcement Division, or his designee, to serve ex officio;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(2) the Chairman of the Commission on Indigent Defense, or his designee who must be a member of that commission or who must be the director of the commission;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(3) the Chairman of the State Board of Corrections, or his designee who must be a member of that board or who must be the Commissioner of the Department of Corrections;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(4) the Chairman of the Board of the Department of Probation, Parole and Pardon Services, or his designee who must be a member of that board or who must be the Commissioner or Executive Director of the Department of Probation, Parole and Pardon Services.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 </w:t>
      </w: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 </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b/>
        </w:rPr>
        <w:t xml:space="preserve">SECTION </w:t>
      </w:r>
      <w:r w:rsidR="00905514" w:rsidRPr="00C94151">
        <w:rPr>
          <w:rFonts w:cs="Times New Roman"/>
          <w:b/>
        </w:rPr>
        <w:t>24</w:t>
      </w:r>
      <w:r w:rsidRPr="00C94151">
        <w:rPr>
          <w:rFonts w:cs="Times New Roman"/>
          <w:b/>
        </w:rPr>
        <w:noBreakHyphen/>
      </w:r>
      <w:r w:rsidR="00905514" w:rsidRPr="00C94151">
        <w:rPr>
          <w:rFonts w:cs="Times New Roman"/>
          <w:b/>
        </w:rPr>
        <w:t>26</w:t>
      </w:r>
      <w:r w:rsidRPr="00C94151">
        <w:rPr>
          <w:rFonts w:cs="Times New Roman"/>
          <w:b/>
        </w:rPr>
        <w:noBreakHyphen/>
      </w:r>
      <w:r w:rsidR="00905514" w:rsidRPr="00C94151">
        <w:rPr>
          <w:rFonts w:cs="Times New Roman"/>
          <w:b/>
        </w:rPr>
        <w:t>20.</w:t>
      </w:r>
      <w:r w:rsidR="00905514" w:rsidRPr="00C94151">
        <w:rPr>
          <w:rFonts w:cs="Times New Roman"/>
        </w:rPr>
        <w:t xml:space="preserve"> Duties and responsibilities. </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The commission has the following duties and responsibilities: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lastRenderedPageBreak/>
        <w:t xml:space="preserve">(1) recommend advisory sentencing guidelines for the general sessions court for all offenses for which a term of imprisonment of more than one year is allowed.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(a) The guidelines must establish: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(i) the circumstances under which imprisonment of an offender is proper;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(ii) a range of fixed sentences for offenders for whom imprisonment is proper, based on each appropriate combination of reasonable offense and offender characteristics;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(iii) a determination whether multiple sentences to terms of imprisonment must be ordered to run concurrently or consecutively.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(b) In establishing the advisory sentencing guidelines, the commission shall take into consideration current sentence and release practices and correctional resources including, but not limited to, the capacities of local and state correctional facilities;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(2) recommend appropriate advisory sentencing guidelines for the general sessions courts for all offenses for which a term of imprisonment of one year or less is allowed;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(4) develop and recommend policies for preventing prison and jail overcrowding;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(5) examine the impact of statutory provisions and current administrative policies on prison and jail overcrowding;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(6) before January sixteenth of each year, prepare and submit to the Governor, the General Assembly, and the Chief Justice of the Supreme Court a comprehensive state criminal justice ten</w:t>
      </w:r>
      <w:r w:rsidR="00C94151" w:rsidRPr="00C94151">
        <w:rPr>
          <w:rFonts w:cs="Times New Roman"/>
        </w:rPr>
        <w:noBreakHyphen/>
      </w:r>
      <w:r w:rsidRPr="00C94151">
        <w:rPr>
          <w:rFonts w:cs="Times New Roman"/>
        </w:rPr>
        <w:t>year, five</w:t>
      </w:r>
      <w:r w:rsidR="00C94151" w:rsidRPr="00C94151">
        <w:rPr>
          <w:rFonts w:cs="Times New Roman"/>
        </w:rPr>
        <w:noBreakHyphen/>
      </w:r>
      <w:r w:rsidRPr="00C94151">
        <w:rPr>
          <w:rFonts w:cs="Times New Roman"/>
        </w:rPr>
        <w:t>year, and one</w:t>
      </w:r>
      <w:r w:rsidR="00C94151" w:rsidRPr="00C94151">
        <w:rPr>
          <w:rFonts w:cs="Times New Roman"/>
        </w:rPr>
        <w:noBreakHyphen/>
      </w:r>
      <w:r w:rsidRPr="00C94151">
        <w:rPr>
          <w:rFonts w:cs="Times New Roman"/>
        </w:rPr>
        <w:t>year plan for preventing prison and jail overcrowding.  This plan must include, but is not limited to, the number of persons currently involved in pretrial and postsentencing options predominantly provided through community</w:t>
      </w:r>
      <w:r w:rsidR="00C94151" w:rsidRPr="00C94151">
        <w:rPr>
          <w:rFonts w:cs="Times New Roman"/>
        </w:rPr>
        <w:noBreakHyphen/>
      </w:r>
      <w:r w:rsidRPr="00C94151">
        <w:rPr>
          <w:rFonts w:cs="Times New Roman"/>
        </w:rPr>
        <w:t xml:space="preserve">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(7) research and gather relevant statistical data and other information concerning the impact of efforts to prevent prison and jail overcrowding and make the information available to criminal justice agencies and members of the General Assembly; </w:t>
      </w:r>
    </w:p>
    <w:p w:rsidR="00905514"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 </w:t>
      </w: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(9) make recommendations to the General Assembly regarding changes in the criminal code, criminal procedures, and other aspects of sentencing. </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b/>
        </w:rPr>
        <w:t xml:space="preserve">SECTION </w:t>
      </w:r>
      <w:r w:rsidR="00905514" w:rsidRPr="00C94151">
        <w:rPr>
          <w:rFonts w:cs="Times New Roman"/>
          <w:b/>
        </w:rPr>
        <w:t>24</w:t>
      </w:r>
      <w:r w:rsidRPr="00C94151">
        <w:rPr>
          <w:rFonts w:cs="Times New Roman"/>
          <w:b/>
        </w:rPr>
        <w:noBreakHyphen/>
      </w:r>
      <w:r w:rsidR="00905514" w:rsidRPr="00C94151">
        <w:rPr>
          <w:rFonts w:cs="Times New Roman"/>
          <w:b/>
        </w:rPr>
        <w:t>26</w:t>
      </w:r>
      <w:r w:rsidRPr="00C94151">
        <w:rPr>
          <w:rFonts w:cs="Times New Roman"/>
          <w:b/>
        </w:rPr>
        <w:noBreakHyphen/>
      </w:r>
      <w:r w:rsidR="00905514" w:rsidRPr="00C94151">
        <w:rPr>
          <w:rFonts w:cs="Times New Roman"/>
          <w:b/>
        </w:rPr>
        <w:t>30.</w:t>
      </w:r>
      <w:r w:rsidR="00905514" w:rsidRPr="00C94151">
        <w:rPr>
          <w:rFonts w:cs="Times New Roman"/>
        </w:rPr>
        <w:t xml:space="preserve"> Commission staff. </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The commission may employ a staff director and other professional and clerical personnel upon the appropriation of sufficient funds by the General Assembly.  The duties of the staff director and the other personnel of the commission must be set by the commission. </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b/>
        </w:rPr>
        <w:t xml:space="preserve">SECTION </w:t>
      </w:r>
      <w:r w:rsidR="00905514" w:rsidRPr="00C94151">
        <w:rPr>
          <w:rFonts w:cs="Times New Roman"/>
          <w:b/>
        </w:rPr>
        <w:t>24</w:t>
      </w:r>
      <w:r w:rsidRPr="00C94151">
        <w:rPr>
          <w:rFonts w:cs="Times New Roman"/>
          <w:b/>
        </w:rPr>
        <w:noBreakHyphen/>
      </w:r>
      <w:r w:rsidR="00905514" w:rsidRPr="00C94151">
        <w:rPr>
          <w:rFonts w:cs="Times New Roman"/>
          <w:b/>
        </w:rPr>
        <w:t>26</w:t>
      </w:r>
      <w:r w:rsidRPr="00C94151">
        <w:rPr>
          <w:rFonts w:cs="Times New Roman"/>
          <w:b/>
        </w:rPr>
        <w:noBreakHyphen/>
      </w:r>
      <w:r w:rsidR="00905514" w:rsidRPr="00C94151">
        <w:rPr>
          <w:rFonts w:cs="Times New Roman"/>
          <w:b/>
        </w:rPr>
        <w:t>40.</w:t>
      </w:r>
      <w:r w:rsidR="00905514" w:rsidRPr="00C94151">
        <w:rPr>
          <w:rFonts w:cs="Times New Roman"/>
        </w:rPr>
        <w:t xml:space="preserve"> Funding. </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The commission shall receive funding provided by the General Assembly and is encouraged to apply for and may expend federal funds and grants and gifts it may receive from other sources to carry out its duties and responsibilities. </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b/>
        </w:rPr>
        <w:t xml:space="preserve">SECTION </w:t>
      </w:r>
      <w:r w:rsidR="00905514" w:rsidRPr="00C94151">
        <w:rPr>
          <w:rFonts w:cs="Times New Roman"/>
          <w:b/>
        </w:rPr>
        <w:t>24</w:t>
      </w:r>
      <w:r w:rsidRPr="00C94151">
        <w:rPr>
          <w:rFonts w:cs="Times New Roman"/>
          <w:b/>
        </w:rPr>
        <w:noBreakHyphen/>
      </w:r>
      <w:r w:rsidR="00905514" w:rsidRPr="00C94151">
        <w:rPr>
          <w:rFonts w:cs="Times New Roman"/>
          <w:b/>
        </w:rPr>
        <w:t>26</w:t>
      </w:r>
      <w:r w:rsidRPr="00C94151">
        <w:rPr>
          <w:rFonts w:cs="Times New Roman"/>
          <w:b/>
        </w:rPr>
        <w:noBreakHyphen/>
      </w:r>
      <w:r w:rsidR="00905514" w:rsidRPr="00C94151">
        <w:rPr>
          <w:rFonts w:cs="Times New Roman"/>
          <w:b/>
        </w:rPr>
        <w:t>50.</w:t>
      </w:r>
      <w:r w:rsidR="00905514" w:rsidRPr="00C94151">
        <w:rPr>
          <w:rFonts w:cs="Times New Roman"/>
        </w:rPr>
        <w:t xml:space="preserve"> Establishment of general policies;  approval of advisory guidelines. </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The commission, by vote of a majority of the membership, may establish general policies.  The advisory guidelines prescribed and promulgated pursuant to Section 24</w:t>
      </w:r>
      <w:r w:rsidR="00C94151" w:rsidRPr="00C94151">
        <w:rPr>
          <w:rFonts w:cs="Times New Roman"/>
        </w:rPr>
        <w:noBreakHyphen/>
      </w:r>
      <w:r w:rsidRPr="00C94151">
        <w:rPr>
          <w:rFonts w:cs="Times New Roman"/>
        </w:rPr>
        <w:t>26</w:t>
      </w:r>
      <w:r w:rsidR="00C94151" w:rsidRPr="00C94151">
        <w:rPr>
          <w:rFonts w:cs="Times New Roman"/>
        </w:rPr>
        <w:noBreakHyphen/>
      </w:r>
      <w:r w:rsidRPr="00C94151">
        <w:rPr>
          <w:rFonts w:cs="Times New Roman"/>
        </w:rPr>
        <w:t xml:space="preserve">20 must be approved by the General Assembly. </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b/>
        </w:rPr>
        <w:t xml:space="preserve">SECTION </w:t>
      </w:r>
      <w:r w:rsidR="00905514" w:rsidRPr="00C94151">
        <w:rPr>
          <w:rFonts w:cs="Times New Roman"/>
          <w:b/>
        </w:rPr>
        <w:t>24</w:t>
      </w:r>
      <w:r w:rsidRPr="00C94151">
        <w:rPr>
          <w:rFonts w:cs="Times New Roman"/>
          <w:b/>
        </w:rPr>
        <w:noBreakHyphen/>
      </w:r>
      <w:r w:rsidR="00905514" w:rsidRPr="00C94151">
        <w:rPr>
          <w:rFonts w:cs="Times New Roman"/>
          <w:b/>
        </w:rPr>
        <w:t>26</w:t>
      </w:r>
      <w:r w:rsidRPr="00C94151">
        <w:rPr>
          <w:rFonts w:cs="Times New Roman"/>
          <w:b/>
        </w:rPr>
        <w:noBreakHyphen/>
      </w:r>
      <w:r w:rsidR="00905514" w:rsidRPr="00C94151">
        <w:rPr>
          <w:rFonts w:cs="Times New Roman"/>
          <w:b/>
        </w:rPr>
        <w:t>60.</w:t>
      </w:r>
      <w:r w:rsidR="00905514" w:rsidRPr="00C94151">
        <w:rPr>
          <w:rFonts w:cs="Times New Roman"/>
        </w:rPr>
        <w:t xml:space="preserve"> Recommendations regarding changes in classification system. </w:t>
      </w:r>
    </w:p>
    <w:p w:rsid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151" w:rsidRPr="00C94151" w:rsidRDefault="00905514"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151">
        <w:rPr>
          <w:rFonts w:cs="Times New Roman"/>
        </w:rPr>
        <w:t xml:space="preserve">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 </w:t>
      </w:r>
    </w:p>
    <w:p w:rsidR="00C94151" w:rsidRPr="00C94151" w:rsidRDefault="00C94151"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4151" w:rsidRDefault="00184435" w:rsidP="00C9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4151" w:rsidSect="00C941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151" w:rsidRDefault="00C94151" w:rsidP="00C94151">
      <w:r>
        <w:separator/>
      </w:r>
    </w:p>
  </w:endnote>
  <w:endnote w:type="continuationSeparator" w:id="0">
    <w:p w:rsidR="00C94151" w:rsidRDefault="00C94151" w:rsidP="00C94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1" w:rsidRPr="00C94151" w:rsidRDefault="00C94151" w:rsidP="00C94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1" w:rsidRPr="00C94151" w:rsidRDefault="00C94151" w:rsidP="00C941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1" w:rsidRPr="00C94151" w:rsidRDefault="00C94151" w:rsidP="00C94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151" w:rsidRDefault="00C94151" w:rsidP="00C94151">
      <w:r>
        <w:separator/>
      </w:r>
    </w:p>
  </w:footnote>
  <w:footnote w:type="continuationSeparator" w:id="0">
    <w:p w:rsidR="00C94151" w:rsidRDefault="00C94151" w:rsidP="00C9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1" w:rsidRPr="00C94151" w:rsidRDefault="00C94151" w:rsidP="00C941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1" w:rsidRPr="00C94151" w:rsidRDefault="00C94151" w:rsidP="00C941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1" w:rsidRPr="00C94151" w:rsidRDefault="00C94151" w:rsidP="00C941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5514"/>
    <w:rsid w:val="00184435"/>
    <w:rsid w:val="001C3B15"/>
    <w:rsid w:val="00817EA2"/>
    <w:rsid w:val="00905514"/>
    <w:rsid w:val="009254ED"/>
    <w:rsid w:val="00A8267C"/>
    <w:rsid w:val="00C1314E"/>
    <w:rsid w:val="00C43F44"/>
    <w:rsid w:val="00C94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151"/>
    <w:pPr>
      <w:tabs>
        <w:tab w:val="center" w:pos="4680"/>
        <w:tab w:val="right" w:pos="9360"/>
      </w:tabs>
    </w:pPr>
  </w:style>
  <w:style w:type="character" w:customStyle="1" w:styleId="HeaderChar">
    <w:name w:val="Header Char"/>
    <w:basedOn w:val="DefaultParagraphFont"/>
    <w:link w:val="Header"/>
    <w:uiPriority w:val="99"/>
    <w:semiHidden/>
    <w:rsid w:val="00C94151"/>
  </w:style>
  <w:style w:type="paragraph" w:styleId="Footer">
    <w:name w:val="footer"/>
    <w:basedOn w:val="Normal"/>
    <w:link w:val="FooterChar"/>
    <w:uiPriority w:val="99"/>
    <w:semiHidden/>
    <w:unhideWhenUsed/>
    <w:rsid w:val="00C94151"/>
    <w:pPr>
      <w:tabs>
        <w:tab w:val="center" w:pos="4680"/>
        <w:tab w:val="right" w:pos="9360"/>
      </w:tabs>
    </w:pPr>
  </w:style>
  <w:style w:type="character" w:customStyle="1" w:styleId="FooterChar">
    <w:name w:val="Footer Char"/>
    <w:basedOn w:val="DefaultParagraphFont"/>
    <w:link w:val="Footer"/>
    <w:uiPriority w:val="99"/>
    <w:semiHidden/>
    <w:rsid w:val="00C94151"/>
  </w:style>
  <w:style w:type="paragraph" w:styleId="BalloonText">
    <w:name w:val="Balloon Text"/>
    <w:basedOn w:val="Normal"/>
    <w:link w:val="BalloonTextChar"/>
    <w:uiPriority w:val="99"/>
    <w:semiHidden/>
    <w:unhideWhenUsed/>
    <w:rsid w:val="00C94151"/>
    <w:rPr>
      <w:rFonts w:ascii="Tahoma" w:hAnsi="Tahoma" w:cs="Tahoma"/>
      <w:sz w:val="16"/>
      <w:szCs w:val="16"/>
    </w:rPr>
  </w:style>
  <w:style w:type="character" w:customStyle="1" w:styleId="BalloonTextChar">
    <w:name w:val="Balloon Text Char"/>
    <w:basedOn w:val="DefaultParagraphFont"/>
    <w:link w:val="BalloonText"/>
    <w:uiPriority w:val="99"/>
    <w:semiHidden/>
    <w:rsid w:val="00C94151"/>
    <w:rPr>
      <w:rFonts w:ascii="Tahoma" w:hAnsi="Tahoma" w:cs="Tahoma"/>
      <w:sz w:val="16"/>
      <w:szCs w:val="16"/>
    </w:rPr>
  </w:style>
  <w:style w:type="character" w:styleId="Hyperlink">
    <w:name w:val="Hyperlink"/>
    <w:basedOn w:val="DefaultParagraphFont"/>
    <w:semiHidden/>
    <w:rsid w:val="00C131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7647</Characters>
  <Application>Microsoft Office Word</Application>
  <DocSecurity>0</DocSecurity>
  <Lines>63</Lines>
  <Paragraphs>17</Paragraphs>
  <ScaleCrop>false</ScaleCrop>
  <Company>LPITS</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