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27" w:rsidRDefault="00B35027">
      <w:pPr>
        <w:jc w:val="center"/>
      </w:pPr>
      <w:r>
        <w:t>DISCLAIMER</w:t>
      </w:r>
    </w:p>
    <w:p w:rsidR="00B35027" w:rsidRDefault="00B35027"/>
    <w:p w:rsidR="00B35027" w:rsidRDefault="00B3502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5027" w:rsidRDefault="00B35027"/>
    <w:p w:rsidR="00B35027" w:rsidRDefault="00B350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5027" w:rsidRDefault="00B35027"/>
    <w:p w:rsidR="00B35027" w:rsidRDefault="00B350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5027" w:rsidRDefault="00B35027"/>
    <w:p w:rsidR="00B35027" w:rsidRDefault="00B350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5027" w:rsidRDefault="00B35027"/>
    <w:p w:rsidR="00B35027" w:rsidRDefault="00B35027">
      <w:pPr>
        <w:rPr>
          <w:rFonts w:cs="Times New Roman"/>
        </w:rPr>
      </w:pPr>
      <w:r>
        <w:rPr>
          <w:rFonts w:cs="Times New Roman"/>
        </w:rPr>
        <w:br w:type="page"/>
      </w:r>
    </w:p>
    <w:p w:rsid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389">
        <w:rPr>
          <w:rFonts w:cs="Times New Roman"/>
        </w:rPr>
        <w:t>CHAPTER 15.</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389">
        <w:rPr>
          <w:rFonts w:cs="Times New Roman"/>
        </w:rPr>
        <w:t xml:space="preserve"> PRIZES AND GIFTS</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10.</w:t>
      </w:r>
      <w:r w:rsidR="003B0C59" w:rsidRPr="00591389">
        <w:rPr>
          <w:rFonts w:cs="Times New Roman"/>
        </w:rPr>
        <w:t xml:space="preserve"> Short title.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This chapter may be cited as the Prizes and Gifts Act.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20.</w:t>
      </w:r>
      <w:r w:rsidR="003B0C59" w:rsidRPr="00591389">
        <w:rPr>
          <w:rFonts w:cs="Times New Roman"/>
        </w:rPr>
        <w:t xml:space="preserve"> Definitions.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As used in this chapter: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w:t>
      </w:r>
      <w:r w:rsidR="00591389" w:rsidRPr="00591389">
        <w:rPr>
          <w:rFonts w:cs="Times New Roman"/>
        </w:rPr>
        <w:t>“</w:t>
      </w:r>
      <w:r w:rsidRPr="00591389">
        <w:rPr>
          <w:rFonts w:cs="Times New Roman"/>
        </w:rPr>
        <w:t>Anything of value</w:t>
      </w:r>
      <w:r w:rsidR="00591389" w:rsidRPr="00591389">
        <w:rPr>
          <w:rFonts w:cs="Times New Roman"/>
        </w:rPr>
        <w:t>”</w:t>
      </w:r>
      <w:r w:rsidRPr="00591389">
        <w:rPr>
          <w:rFonts w:cs="Times New Roman"/>
        </w:rPr>
        <w:t xml:space="preserve">, </w:t>
      </w:r>
      <w:r w:rsidR="00591389" w:rsidRPr="00591389">
        <w:rPr>
          <w:rFonts w:cs="Times New Roman"/>
        </w:rPr>
        <w:t>“</w:t>
      </w:r>
      <w:r w:rsidRPr="00591389">
        <w:rPr>
          <w:rFonts w:cs="Times New Roman"/>
        </w:rPr>
        <w:t>item of value</w:t>
      </w:r>
      <w:r w:rsidR="00591389" w:rsidRPr="00591389">
        <w:rPr>
          <w:rFonts w:cs="Times New Roman"/>
        </w:rPr>
        <w:t>”</w:t>
      </w:r>
      <w:r w:rsidRPr="00591389">
        <w:rPr>
          <w:rFonts w:cs="Times New Roman"/>
        </w:rPr>
        <w:t xml:space="preserve">, or </w:t>
      </w:r>
      <w:r w:rsidR="00591389" w:rsidRPr="00591389">
        <w:rPr>
          <w:rFonts w:cs="Times New Roman"/>
        </w:rPr>
        <w:t>“</w:t>
      </w:r>
      <w:r w:rsidRPr="00591389">
        <w:rPr>
          <w:rFonts w:cs="Times New Roman"/>
        </w:rPr>
        <w:t>item</w:t>
      </w:r>
      <w:r w:rsidR="00591389" w:rsidRPr="00591389">
        <w:rPr>
          <w:rFonts w:cs="Times New Roman"/>
        </w:rPr>
        <w:t>”</w:t>
      </w:r>
      <w:r w:rsidRPr="00591389">
        <w:rPr>
          <w:rFonts w:cs="Times New Roman"/>
        </w:rPr>
        <w:t xml:space="preserve"> means an item or service with monetary value.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w:t>
      </w:r>
      <w:r w:rsidR="00591389" w:rsidRPr="00591389">
        <w:rPr>
          <w:rFonts w:cs="Times New Roman"/>
        </w:rPr>
        <w:t>“</w:t>
      </w:r>
      <w:r w:rsidRPr="00591389">
        <w:rPr>
          <w:rFonts w:cs="Times New Roman"/>
        </w:rPr>
        <w:t>Handling charge</w:t>
      </w:r>
      <w:r w:rsidR="00591389" w:rsidRPr="00591389">
        <w:rPr>
          <w:rFonts w:cs="Times New Roman"/>
        </w:rPr>
        <w:t>”</w:t>
      </w:r>
      <w:r w:rsidRPr="00591389">
        <w:rPr>
          <w:rFonts w:cs="Times New Roman"/>
        </w:rPr>
        <w:t xml:space="preserve"> means a charge, fee, or sum of money that is paid by a consumer to receive a prize, gift, or an item of value including, but not limited to, promotional fees, redemption fees, registration fees, or delivery costs.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(3) </w:t>
      </w:r>
      <w:r w:rsidR="00591389" w:rsidRPr="00591389">
        <w:rPr>
          <w:rFonts w:cs="Times New Roman"/>
        </w:rPr>
        <w:t>“</w:t>
      </w:r>
      <w:r w:rsidRPr="00591389">
        <w:rPr>
          <w:rFonts w:cs="Times New Roman"/>
        </w:rPr>
        <w:t>Person</w:t>
      </w:r>
      <w:r w:rsidR="00591389" w:rsidRPr="00591389">
        <w:rPr>
          <w:rFonts w:cs="Times New Roman"/>
        </w:rPr>
        <w:t>”</w:t>
      </w:r>
      <w:r w:rsidRPr="00591389">
        <w:rPr>
          <w:rFonts w:cs="Times New Roman"/>
        </w:rPr>
        <w:t xml:space="preserve"> means an individual, corporation, trust, partnership, association, and any other legal entity.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30.</w:t>
      </w:r>
      <w:r w:rsidR="003B0C59" w:rsidRPr="00591389">
        <w:rPr>
          <w:rFonts w:cs="Times New Roman"/>
        </w:rPr>
        <w:t xml:space="preserve"> Restrictions on representation that a person has won a prize or contest.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 No person, in connection with the sale, lease, or solicitation for the sale or lease of goods, property, or service, may represent that another person has won anything of value or is the winner of a contest, unless these conditions are met: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The recipient of the prize, gift, or item of value must be given the prize, gift, or item of value without monetary obligation.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The prize, gift, or item of value must be delivered to the recipient at no expense to the recipient within ten days of the representation.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The use of language that may lead a reasonable person to believe that the person has won a contest or anything of value including, but not limited to, </w:t>
      </w:r>
      <w:r w:rsidR="00591389" w:rsidRPr="00591389">
        <w:rPr>
          <w:rFonts w:cs="Times New Roman"/>
        </w:rPr>
        <w:t>“</w:t>
      </w:r>
      <w:r w:rsidRPr="00591389">
        <w:rPr>
          <w:rFonts w:cs="Times New Roman"/>
        </w:rPr>
        <w:t>Congratulations</w:t>
      </w:r>
      <w:r w:rsidR="00591389" w:rsidRPr="00591389">
        <w:rPr>
          <w:rFonts w:cs="Times New Roman"/>
        </w:rPr>
        <w:t>”</w:t>
      </w:r>
      <w:r w:rsidRPr="00591389">
        <w:rPr>
          <w:rFonts w:cs="Times New Roman"/>
        </w:rPr>
        <w:t xml:space="preserve">, or </w:t>
      </w:r>
      <w:r w:rsidR="00591389" w:rsidRPr="00591389">
        <w:rPr>
          <w:rFonts w:cs="Times New Roman"/>
        </w:rPr>
        <w:t>“</w:t>
      </w:r>
      <w:r w:rsidRPr="00591389">
        <w:rPr>
          <w:rFonts w:cs="Times New Roman"/>
        </w:rPr>
        <w:t>You have won</w:t>
      </w:r>
      <w:r w:rsidR="00591389" w:rsidRPr="00591389">
        <w:rPr>
          <w:rFonts w:cs="Times New Roman"/>
        </w:rPr>
        <w:t>”</w:t>
      </w:r>
      <w:r w:rsidRPr="00591389">
        <w:rPr>
          <w:rFonts w:cs="Times New Roman"/>
        </w:rPr>
        <w:t xml:space="preserve">, or </w:t>
      </w:r>
      <w:r w:rsidR="00591389" w:rsidRPr="00591389">
        <w:rPr>
          <w:rFonts w:cs="Times New Roman"/>
        </w:rPr>
        <w:t>“</w:t>
      </w:r>
      <w:r w:rsidRPr="00591389">
        <w:rPr>
          <w:rFonts w:cs="Times New Roman"/>
        </w:rPr>
        <w:t>You are the winner of</w:t>
      </w:r>
      <w:r w:rsidR="00591389" w:rsidRPr="00591389">
        <w:rPr>
          <w:rFonts w:cs="Times New Roman"/>
        </w:rPr>
        <w:t>”</w:t>
      </w:r>
      <w:r w:rsidRPr="00591389">
        <w:rPr>
          <w:rFonts w:cs="Times New Roman"/>
        </w:rPr>
        <w:t xml:space="preserve">, is considered a representation of the type governed by this section.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(C) This section does not apply to a promotion or contest meeting the requirements or one of the stated exceptions to applicability set forth in Section 37</w:t>
      </w:r>
      <w:r w:rsidR="00591389" w:rsidRPr="00591389">
        <w:rPr>
          <w:rFonts w:cs="Times New Roman"/>
        </w:rPr>
        <w:noBreakHyphen/>
      </w:r>
      <w:r w:rsidRPr="00591389">
        <w:rPr>
          <w:rFonts w:cs="Times New Roman"/>
        </w:rPr>
        <w:t>15</w:t>
      </w:r>
      <w:r w:rsidR="00591389" w:rsidRPr="00591389">
        <w:rPr>
          <w:rFonts w:cs="Times New Roman"/>
        </w:rPr>
        <w:noBreakHyphen/>
      </w:r>
      <w:r w:rsidRPr="00591389">
        <w:rPr>
          <w:rFonts w:cs="Times New Roman"/>
        </w:rPr>
        <w:t xml:space="preserve">40.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40.</w:t>
      </w:r>
      <w:r w:rsidR="003B0C59" w:rsidRPr="00591389">
        <w:rPr>
          <w:rFonts w:cs="Times New Roman"/>
        </w:rPr>
        <w:t xml:space="preserve"> Form and content of disclosures required as prerequisites to representation that person has chance to win something;  exceptions;  publisher of violative material not liable.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lastRenderedPageBreak/>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591389" w:rsidRPr="00591389">
        <w:rPr>
          <w:rFonts w:cs="Times New Roman"/>
        </w:rPr>
        <w:t>“</w:t>
      </w:r>
      <w:r w:rsidRPr="00591389">
        <w:rPr>
          <w:rFonts w:cs="Times New Roman"/>
        </w:rPr>
        <w:t>Award Rules</w:t>
      </w:r>
      <w:r w:rsidR="00591389" w:rsidRPr="00591389">
        <w:rPr>
          <w:rFonts w:cs="Times New Roman"/>
        </w:rPr>
        <w:t>”</w:t>
      </w:r>
      <w:r w:rsidRPr="00591389">
        <w:rPr>
          <w:rFonts w:cs="Times New Roman"/>
        </w:rPr>
        <w:t xml:space="preserve"> with the title printed in no less than ten</w:t>
      </w:r>
      <w:r w:rsidR="00591389" w:rsidRPr="00591389">
        <w:rPr>
          <w:rFonts w:cs="Times New Roman"/>
        </w:rPr>
        <w:noBreakHyphen/>
      </w:r>
      <w:r w:rsidRPr="00591389">
        <w:rPr>
          <w:rFonts w:cs="Times New Roman"/>
        </w:rPr>
        <w:t xml:space="preserve">point bold face type and the section containing a description of the prize, gift, or item of value;  and these disclosures must be stated: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 the actual retail value of each item or prize, which for purposes of this section are: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(i) the price at which substantial sales of the item were made in the area in which the offer was received within the last one hundred and eighty days;  or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(ii) the actual cost of the item of value, gift, or prize to the person on whose behalf the contest or promotion is conducted plus no more than seven hundred percent, but in no case may the cost exceed the person</w:t>
      </w:r>
      <w:r w:rsidR="00591389" w:rsidRPr="00591389">
        <w:rPr>
          <w:rFonts w:cs="Times New Roman"/>
        </w:rPr>
        <w:t>’</w:t>
      </w:r>
      <w:r w:rsidRPr="00591389">
        <w:rPr>
          <w:rFonts w:cs="Times New Roman"/>
        </w:rPr>
        <w:t xml:space="preserve">s good faith estimate of the appraised retail value;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the actual number of each item, gift, or prize to be awarded;  and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(c) the odds of receiving an item, gift, or prize;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(d) a limitation on eligibility of participation in the contest or promotion.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All disclosures required by this chapter to be in writing must comply with the following: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all dollar values must be stated in Arabic numerals and be preceded by a dollar sign.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the number of each item, gift, or prize to be awarded and the odds of receiving an item, gift, or prize must be stated in Arabic numerals and must be written in a manner that is clear and understandable.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on the face of written materials;  or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before requesting or inviting the person to enter into the sale or lease in an oral notification.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(D) This section does not apply if: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a participant is asked only to complete and mail, or deposit at a local retail commercial establishment, an entry blank obtainable locally or by mail, or to call in the entry by telephone;  or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a participant at no time is required to listen to a sales presentation in order to receive the prize or gift or at no time is required to pay for any merchandise, service, or item of value other than as disclosed in the Award Rules.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(E) Nothing in this section creates liability for an act by the publisher, owner, agent, or employee of a newspaper, periodical, radio station, television station, cable</w:t>
      </w:r>
      <w:r w:rsidR="00591389" w:rsidRPr="00591389">
        <w:rPr>
          <w:rFonts w:cs="Times New Roman"/>
        </w:rPr>
        <w:noBreakHyphen/>
      </w:r>
      <w:r w:rsidRPr="00591389">
        <w:rPr>
          <w:rFonts w:cs="Times New Roman"/>
        </w:rPr>
        <w:t xml:space="preserve">television system, or other advertising medium arising out of the publication or dissemination of an advertisement or promotion governed by this section, when the publisher, owner, agent, or employee did not know that the advertisement or promotion violated this section.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50.</w:t>
      </w:r>
      <w:r w:rsidR="003B0C59" w:rsidRPr="00591389">
        <w:rPr>
          <w:rFonts w:cs="Times New Roman"/>
        </w:rPr>
        <w:t xml:space="preserve"> Restriction of representation that person has been specially selected.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lastRenderedPageBreak/>
        <w:t xml:space="preserve">(A) No person may represent that another person has been specially selected in connection with the sale, lease, or solicitation for sale or lease of goods, property, or service, unless the selection process is designed to reach particular persons.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The use of any language that may lead a reasonable person to believe that the person has been specially selected including, but not limited to, </w:t>
      </w:r>
      <w:r w:rsidR="00591389" w:rsidRPr="00591389">
        <w:rPr>
          <w:rFonts w:cs="Times New Roman"/>
        </w:rPr>
        <w:t>“</w:t>
      </w:r>
      <w:r w:rsidRPr="00591389">
        <w:rPr>
          <w:rFonts w:cs="Times New Roman"/>
        </w:rPr>
        <w:t>Carefully selected</w:t>
      </w:r>
      <w:r w:rsidR="00591389" w:rsidRPr="00591389">
        <w:rPr>
          <w:rFonts w:cs="Times New Roman"/>
        </w:rPr>
        <w:t>”</w:t>
      </w:r>
      <w:r w:rsidRPr="00591389">
        <w:rPr>
          <w:rFonts w:cs="Times New Roman"/>
        </w:rPr>
        <w:t xml:space="preserve">, or </w:t>
      </w:r>
      <w:r w:rsidR="00591389" w:rsidRPr="00591389">
        <w:rPr>
          <w:rFonts w:cs="Times New Roman"/>
        </w:rPr>
        <w:t>“</w:t>
      </w:r>
      <w:r w:rsidRPr="00591389">
        <w:rPr>
          <w:rFonts w:cs="Times New Roman"/>
        </w:rPr>
        <w:t>You have been selected to receive</w:t>
      </w:r>
      <w:r w:rsidR="00591389" w:rsidRPr="00591389">
        <w:rPr>
          <w:rFonts w:cs="Times New Roman"/>
        </w:rPr>
        <w:t>”</w:t>
      </w:r>
      <w:r w:rsidRPr="00591389">
        <w:rPr>
          <w:rFonts w:cs="Times New Roman"/>
        </w:rPr>
        <w:t xml:space="preserve">, or </w:t>
      </w:r>
      <w:r w:rsidR="00591389" w:rsidRPr="00591389">
        <w:rPr>
          <w:rFonts w:cs="Times New Roman"/>
        </w:rPr>
        <w:t>“</w:t>
      </w:r>
      <w:r w:rsidRPr="00591389">
        <w:rPr>
          <w:rFonts w:cs="Times New Roman"/>
        </w:rPr>
        <w:t>You have been chosen</w:t>
      </w:r>
      <w:r w:rsidR="00591389" w:rsidRPr="00591389">
        <w:rPr>
          <w:rFonts w:cs="Times New Roman"/>
        </w:rPr>
        <w:t>”</w:t>
      </w:r>
      <w:r w:rsidRPr="00591389">
        <w:rPr>
          <w:rFonts w:cs="Times New Roman"/>
        </w:rPr>
        <w:t xml:space="preserve">, is considered a representation of the type governed by this section.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60.</w:t>
      </w:r>
      <w:r w:rsidR="003B0C59" w:rsidRPr="00591389">
        <w:rPr>
          <w:rFonts w:cs="Times New Roman"/>
        </w:rPr>
        <w:t xml:space="preserve"> Use of simulated checks or invoices restricted.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In connection with a consumer transaction, no person may issue any writing that simulates or resembles: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a check, unless the writing clearly and conspicuously discloses its true value and purpose, and the writing would not mislead a reasonable person;  or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an invoice, unless the intended recipient of the invoice has contracted for goods, property, or services for which the issuer seeks proper payment.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70.</w:t>
      </w:r>
      <w:r w:rsidR="003B0C59" w:rsidRPr="00591389">
        <w:rPr>
          <w:rFonts w:cs="Times New Roman"/>
        </w:rPr>
        <w:t xml:space="preserve"> Payment of excessive shipping or handling charges as precondition of receipt of gift or prize prohibited.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 It is unlawful to notify a person that the person will receive a gift, prize, or item of value and that as a condition of receiving the gift, prize, or item of value the person will be required to pay for or purchase or lease, including rent, any goods or services, if: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(1) the shipping charges exceed: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 the cost of postage or the charge of a delivery service, in the business of delivering goods of like size, weight, and kind, for shipping the gift, prize, or item of value from the geographic area in which the gift, prize, or item of value is being distributed;  or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the exact amount for shipping the gift, prize, or item of value paid to an independent fulfillment house or an independent supplier, either of which is in the business of shipping goods for shippers other than the offeror of the gift, prize, or item of value;  or </w:t>
      </w:r>
    </w:p>
    <w:p w:rsidR="003B0C5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(2) the handling charge exceeds the lesser of five dollars or the actual cost of handling. </w:t>
      </w: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(B) This section applies to all offers of prizes, gifts, or items of value covered by this chapter.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80.</w:t>
      </w:r>
      <w:r w:rsidR="003B0C59" w:rsidRPr="00591389">
        <w:rPr>
          <w:rFonts w:cs="Times New Roman"/>
        </w:rPr>
        <w:t xml:space="preserve"> Civil actions to enforce chapter;  costs.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A consumer who suffers loss by reason of a violation of this chapter may bring a civil action to enforce the provisions and, if successful in the action, shall recover reasonable attorney</w:t>
      </w:r>
      <w:r w:rsidR="00591389" w:rsidRPr="00591389">
        <w:rPr>
          <w:rFonts w:cs="Times New Roman"/>
        </w:rPr>
        <w:t>’</w:t>
      </w:r>
      <w:r w:rsidRPr="00591389">
        <w:rPr>
          <w:rFonts w:cs="Times New Roman"/>
        </w:rPr>
        <w:t xml:space="preserve">s fees and court costs incurred by bringing the action.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90.</w:t>
      </w:r>
      <w:r w:rsidR="003B0C59" w:rsidRPr="00591389">
        <w:rPr>
          <w:rFonts w:cs="Times New Roman"/>
        </w:rPr>
        <w:t xml:space="preserve"> Violation of this chapter is unfair trade practice.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 xml:space="preserve">A violation of this chapter constitutes a prohibited practice under the provisions of the Unfair Trade Practices Act and is subject to any of the enforcement provisions of that act.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b/>
        </w:rPr>
        <w:t xml:space="preserve">SECTION </w:t>
      </w:r>
      <w:r w:rsidR="003B0C59" w:rsidRPr="00591389">
        <w:rPr>
          <w:rFonts w:cs="Times New Roman"/>
          <w:b/>
        </w:rPr>
        <w:t>37</w:t>
      </w:r>
      <w:r w:rsidRPr="00591389">
        <w:rPr>
          <w:rFonts w:cs="Times New Roman"/>
          <w:b/>
        </w:rPr>
        <w:noBreakHyphen/>
      </w:r>
      <w:r w:rsidR="003B0C59" w:rsidRPr="00591389">
        <w:rPr>
          <w:rFonts w:cs="Times New Roman"/>
          <w:b/>
        </w:rPr>
        <w:t>15</w:t>
      </w:r>
      <w:r w:rsidRPr="00591389">
        <w:rPr>
          <w:rFonts w:cs="Times New Roman"/>
          <w:b/>
        </w:rPr>
        <w:noBreakHyphen/>
      </w:r>
      <w:r w:rsidR="003B0C59" w:rsidRPr="00591389">
        <w:rPr>
          <w:rFonts w:cs="Times New Roman"/>
          <w:b/>
        </w:rPr>
        <w:t>100.</w:t>
      </w:r>
      <w:r w:rsidR="003B0C59" w:rsidRPr="00591389">
        <w:rPr>
          <w:rFonts w:cs="Times New Roman"/>
        </w:rPr>
        <w:t xml:space="preserve"> Procedures exempted from application of sections 37</w:t>
      </w:r>
      <w:r w:rsidRPr="00591389">
        <w:rPr>
          <w:rFonts w:cs="Times New Roman"/>
        </w:rPr>
        <w:noBreakHyphen/>
      </w:r>
      <w:r w:rsidR="003B0C59" w:rsidRPr="00591389">
        <w:rPr>
          <w:rFonts w:cs="Times New Roman"/>
        </w:rPr>
        <w:t>15</w:t>
      </w:r>
      <w:r w:rsidRPr="00591389">
        <w:rPr>
          <w:rFonts w:cs="Times New Roman"/>
        </w:rPr>
        <w:noBreakHyphen/>
      </w:r>
      <w:r w:rsidR="003B0C59" w:rsidRPr="00591389">
        <w:rPr>
          <w:rFonts w:cs="Times New Roman"/>
        </w:rPr>
        <w:t>40 through 37</w:t>
      </w:r>
      <w:r w:rsidRPr="00591389">
        <w:rPr>
          <w:rFonts w:cs="Times New Roman"/>
        </w:rPr>
        <w:noBreakHyphen/>
      </w:r>
      <w:r w:rsidR="003B0C59" w:rsidRPr="00591389">
        <w:rPr>
          <w:rFonts w:cs="Times New Roman"/>
        </w:rPr>
        <w:t>15</w:t>
      </w:r>
      <w:r w:rsidRPr="00591389">
        <w:rPr>
          <w:rFonts w:cs="Times New Roman"/>
        </w:rPr>
        <w:noBreakHyphen/>
      </w:r>
      <w:r w:rsidR="003B0C59" w:rsidRPr="00591389">
        <w:rPr>
          <w:rFonts w:cs="Times New Roman"/>
        </w:rPr>
        <w:t xml:space="preserve">70. </w:t>
      </w:r>
    </w:p>
    <w:p w:rsid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389" w:rsidRPr="00591389" w:rsidRDefault="003B0C5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389">
        <w:rPr>
          <w:rFonts w:cs="Times New Roman"/>
        </w:rPr>
        <w:t>Sections 37</w:t>
      </w:r>
      <w:r w:rsidR="00591389" w:rsidRPr="00591389">
        <w:rPr>
          <w:rFonts w:cs="Times New Roman"/>
        </w:rPr>
        <w:noBreakHyphen/>
      </w:r>
      <w:r w:rsidRPr="00591389">
        <w:rPr>
          <w:rFonts w:cs="Times New Roman"/>
        </w:rPr>
        <w:t>15</w:t>
      </w:r>
      <w:r w:rsidR="00591389" w:rsidRPr="00591389">
        <w:rPr>
          <w:rFonts w:cs="Times New Roman"/>
        </w:rPr>
        <w:noBreakHyphen/>
      </w:r>
      <w:r w:rsidRPr="00591389">
        <w:rPr>
          <w:rFonts w:cs="Times New Roman"/>
        </w:rPr>
        <w:t>40 through 37</w:t>
      </w:r>
      <w:r w:rsidR="00591389" w:rsidRPr="00591389">
        <w:rPr>
          <w:rFonts w:cs="Times New Roman"/>
        </w:rPr>
        <w:noBreakHyphen/>
      </w:r>
      <w:r w:rsidRPr="00591389">
        <w:rPr>
          <w:rFonts w:cs="Times New Roman"/>
        </w:rPr>
        <w:t>15</w:t>
      </w:r>
      <w:r w:rsidR="00591389" w:rsidRPr="00591389">
        <w:rPr>
          <w:rFonts w:cs="Times New Roman"/>
        </w:rPr>
        <w:noBreakHyphen/>
      </w:r>
      <w:r w:rsidRPr="00591389">
        <w:rPr>
          <w:rFonts w:cs="Times New Roman"/>
        </w:rPr>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 </w:t>
      </w:r>
    </w:p>
    <w:p w:rsidR="00591389" w:rsidRPr="00591389" w:rsidRDefault="00591389"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1389" w:rsidRDefault="00184435" w:rsidP="0059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1389" w:rsidSect="00591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89" w:rsidRDefault="00591389" w:rsidP="00591389">
      <w:r>
        <w:separator/>
      </w:r>
    </w:p>
  </w:endnote>
  <w:endnote w:type="continuationSeparator" w:id="0">
    <w:p w:rsidR="00591389" w:rsidRDefault="00591389" w:rsidP="00591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89" w:rsidRDefault="00591389" w:rsidP="00591389">
      <w:r>
        <w:separator/>
      </w:r>
    </w:p>
  </w:footnote>
  <w:footnote w:type="continuationSeparator" w:id="0">
    <w:p w:rsidR="00591389" w:rsidRDefault="00591389" w:rsidP="00591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89" w:rsidRPr="00591389" w:rsidRDefault="00591389" w:rsidP="005913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0C59"/>
    <w:rsid w:val="00184435"/>
    <w:rsid w:val="003B0C59"/>
    <w:rsid w:val="00591389"/>
    <w:rsid w:val="005D6195"/>
    <w:rsid w:val="00817EA2"/>
    <w:rsid w:val="00AB02BA"/>
    <w:rsid w:val="00B35027"/>
    <w:rsid w:val="00BD203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389"/>
    <w:pPr>
      <w:tabs>
        <w:tab w:val="center" w:pos="4680"/>
        <w:tab w:val="right" w:pos="9360"/>
      </w:tabs>
    </w:pPr>
  </w:style>
  <w:style w:type="character" w:customStyle="1" w:styleId="HeaderChar">
    <w:name w:val="Header Char"/>
    <w:basedOn w:val="DefaultParagraphFont"/>
    <w:link w:val="Header"/>
    <w:uiPriority w:val="99"/>
    <w:semiHidden/>
    <w:rsid w:val="00591389"/>
  </w:style>
  <w:style w:type="paragraph" w:styleId="Footer">
    <w:name w:val="footer"/>
    <w:basedOn w:val="Normal"/>
    <w:link w:val="FooterChar"/>
    <w:uiPriority w:val="99"/>
    <w:semiHidden/>
    <w:unhideWhenUsed/>
    <w:rsid w:val="00591389"/>
    <w:pPr>
      <w:tabs>
        <w:tab w:val="center" w:pos="4680"/>
        <w:tab w:val="right" w:pos="9360"/>
      </w:tabs>
    </w:pPr>
  </w:style>
  <w:style w:type="character" w:customStyle="1" w:styleId="FooterChar">
    <w:name w:val="Footer Char"/>
    <w:basedOn w:val="DefaultParagraphFont"/>
    <w:link w:val="Footer"/>
    <w:uiPriority w:val="99"/>
    <w:semiHidden/>
    <w:rsid w:val="00591389"/>
  </w:style>
  <w:style w:type="paragraph" w:styleId="BalloonText">
    <w:name w:val="Balloon Text"/>
    <w:basedOn w:val="Normal"/>
    <w:link w:val="BalloonTextChar"/>
    <w:uiPriority w:val="99"/>
    <w:semiHidden/>
    <w:unhideWhenUsed/>
    <w:rsid w:val="00591389"/>
    <w:rPr>
      <w:rFonts w:ascii="Tahoma" w:hAnsi="Tahoma" w:cs="Tahoma"/>
      <w:sz w:val="16"/>
      <w:szCs w:val="16"/>
    </w:rPr>
  </w:style>
  <w:style w:type="character" w:customStyle="1" w:styleId="BalloonTextChar">
    <w:name w:val="Balloon Text Char"/>
    <w:basedOn w:val="DefaultParagraphFont"/>
    <w:link w:val="BalloonText"/>
    <w:uiPriority w:val="99"/>
    <w:semiHidden/>
    <w:rsid w:val="00591389"/>
    <w:rPr>
      <w:rFonts w:ascii="Tahoma" w:hAnsi="Tahoma" w:cs="Tahoma"/>
      <w:sz w:val="16"/>
      <w:szCs w:val="16"/>
    </w:rPr>
  </w:style>
  <w:style w:type="character" w:styleId="Hyperlink">
    <w:name w:val="Hyperlink"/>
    <w:basedOn w:val="DefaultParagraphFont"/>
    <w:semiHidden/>
    <w:rsid w:val="00B350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9440</Characters>
  <Application>Microsoft Office Word</Application>
  <DocSecurity>0</DocSecurity>
  <Lines>78</Lines>
  <Paragraphs>22</Paragraphs>
  <ScaleCrop>false</ScaleCrop>
  <Company>LPITS</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