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04" w:rsidRPr="00AA5904" w:rsidRDefault="00AA5904" w:rsidP="00AA5904">
      <w:pPr>
        <w:jc w:val="center"/>
        <w:rPr>
          <w:rFonts w:ascii="Times New Roman" w:hAnsi="Times New Roman" w:cs="Times New Roman"/>
          <w:sz w:val="22"/>
          <w:szCs w:val="22"/>
        </w:rPr>
      </w:pPr>
      <w:r w:rsidRPr="00AA5904">
        <w:rPr>
          <w:rFonts w:ascii="Times New Roman" w:hAnsi="Times New Roman" w:cs="Times New Roman"/>
          <w:sz w:val="22"/>
          <w:szCs w:val="22"/>
        </w:rPr>
        <w:t>DISCLAIMER</w:t>
      </w:r>
    </w:p>
    <w:p w:rsidR="00AA5904" w:rsidRPr="00AA5904" w:rsidRDefault="00AA5904" w:rsidP="00AA5904">
      <w:pPr>
        <w:rPr>
          <w:rFonts w:ascii="Times New Roman" w:hAnsi="Times New Roman" w:cs="Times New Roman"/>
          <w:sz w:val="22"/>
          <w:szCs w:val="22"/>
        </w:rPr>
      </w:pPr>
    </w:p>
    <w:p w:rsidR="00AA5904" w:rsidRPr="00AA5904" w:rsidRDefault="00AA5904" w:rsidP="00AA5904">
      <w:pPr>
        <w:rPr>
          <w:rFonts w:ascii="Times New Roman" w:hAnsi="Times New Roman" w:cs="Times New Roman"/>
          <w:sz w:val="22"/>
          <w:szCs w:val="22"/>
        </w:rPr>
      </w:pPr>
      <w:r w:rsidRPr="00AA5904">
        <w:rPr>
          <w:rFonts w:ascii="Times New Roman" w:hAnsi="Times New Roman" w:cs="Times New Roman"/>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A5904" w:rsidRPr="00AA5904" w:rsidRDefault="00AA5904" w:rsidP="00AA5904">
      <w:pPr>
        <w:rPr>
          <w:rFonts w:ascii="Times New Roman" w:hAnsi="Times New Roman" w:cs="Times New Roman"/>
          <w:sz w:val="22"/>
          <w:szCs w:val="22"/>
        </w:rPr>
      </w:pPr>
    </w:p>
    <w:p w:rsidR="00AA5904" w:rsidRPr="00AA5904" w:rsidRDefault="00AA5904" w:rsidP="00AA5904">
      <w:pPr>
        <w:rPr>
          <w:rFonts w:ascii="Times New Roman" w:hAnsi="Times New Roman" w:cs="Times New Roman"/>
          <w:sz w:val="22"/>
          <w:szCs w:val="22"/>
        </w:rPr>
      </w:pPr>
      <w:r w:rsidRPr="00AA5904">
        <w:rPr>
          <w:rFonts w:ascii="Times New Roman" w:hAnsi="Times New Roman" w:cs="Times New Roman"/>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5904" w:rsidRPr="00AA5904" w:rsidRDefault="00AA5904" w:rsidP="00AA5904">
      <w:pPr>
        <w:rPr>
          <w:rFonts w:ascii="Times New Roman" w:hAnsi="Times New Roman" w:cs="Times New Roman"/>
          <w:sz w:val="22"/>
          <w:szCs w:val="22"/>
        </w:rPr>
      </w:pPr>
    </w:p>
    <w:p w:rsidR="00AA5904" w:rsidRPr="00AA5904" w:rsidRDefault="00AA5904" w:rsidP="00AA5904">
      <w:pPr>
        <w:rPr>
          <w:rFonts w:ascii="Times New Roman" w:hAnsi="Times New Roman" w:cs="Times New Roman"/>
          <w:sz w:val="22"/>
          <w:szCs w:val="22"/>
        </w:rPr>
      </w:pPr>
      <w:r w:rsidRPr="00AA5904">
        <w:rPr>
          <w:rFonts w:ascii="Times New Roman" w:hAnsi="Times New Roman" w:cs="Times New Roman"/>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5904" w:rsidRPr="00AA5904" w:rsidRDefault="00AA5904" w:rsidP="00AA5904">
      <w:pPr>
        <w:rPr>
          <w:rFonts w:ascii="Times New Roman" w:hAnsi="Times New Roman" w:cs="Times New Roman"/>
          <w:sz w:val="22"/>
          <w:szCs w:val="22"/>
        </w:rPr>
      </w:pPr>
    </w:p>
    <w:p w:rsidR="00AA5904" w:rsidRPr="00AA5904" w:rsidRDefault="00AA5904" w:rsidP="00AA5904">
      <w:pPr>
        <w:rPr>
          <w:rFonts w:ascii="Times New Roman" w:hAnsi="Times New Roman" w:cs="Times New Roman"/>
          <w:sz w:val="22"/>
          <w:szCs w:val="22"/>
        </w:rPr>
      </w:pPr>
      <w:r w:rsidRPr="00AA5904">
        <w:rPr>
          <w:rFonts w:ascii="Times New Roman" w:hAnsi="Times New Roman" w:cs="Times New Roman"/>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AA5904">
          <w:rPr>
            <w:rStyle w:val="Hyperlink"/>
            <w:rFonts w:ascii="Times New Roman" w:hAnsi="Times New Roman" w:cs="Times New Roman"/>
            <w:sz w:val="22"/>
            <w:szCs w:val="22"/>
          </w:rPr>
          <w:t>LPITS@scstatehouse.gov</w:t>
        </w:r>
      </w:hyperlink>
      <w:r w:rsidRPr="00AA5904">
        <w:rPr>
          <w:rFonts w:ascii="Times New Roman" w:hAnsi="Times New Roman" w:cs="Times New Roman"/>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A5904" w:rsidRPr="00AA5904" w:rsidRDefault="00AA5904" w:rsidP="00AA5904">
      <w:pPr>
        <w:rPr>
          <w:rFonts w:ascii="Times New Roman" w:hAnsi="Times New Roman" w:cs="Times New Roman"/>
          <w:sz w:val="22"/>
          <w:szCs w:val="22"/>
        </w:rPr>
      </w:pPr>
    </w:p>
    <w:p w:rsidR="00AA5904" w:rsidRPr="00AA5904" w:rsidRDefault="00AA5904" w:rsidP="00AA5904">
      <w:pPr>
        <w:rPr>
          <w:rFonts w:ascii="Times New Roman" w:hAnsi="Times New Roman" w:cs="Times New Roman"/>
          <w:sz w:val="22"/>
          <w:szCs w:val="22"/>
        </w:rPr>
      </w:pPr>
      <w:r w:rsidRPr="00AA5904">
        <w:rPr>
          <w:rFonts w:ascii="Times New Roman" w:hAnsi="Times New Roman" w:cs="Times New Roman"/>
          <w:sz w:val="22"/>
          <w:szCs w:val="22"/>
        </w:rPr>
        <w:br w:type="page"/>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center"/>
        <w:rPr>
          <w:rFonts w:ascii="Times New Roman" w:hAnsi="Times New Roman" w:cs="Times New Roman"/>
          <w:spacing w:val="-2"/>
          <w:sz w:val="22"/>
          <w:szCs w:val="22"/>
        </w:rPr>
      </w:pPr>
      <w:r w:rsidRPr="00FE706B">
        <w:rPr>
          <w:rFonts w:ascii="Times New Roman" w:hAnsi="Times New Roman" w:cs="Times New Roman"/>
          <w:spacing w:val="-2"/>
          <w:sz w:val="22"/>
          <w:szCs w:val="22"/>
        </w:rPr>
        <w:t>CHAPTER 43</w:t>
      </w:r>
    </w:p>
    <w:p w:rsidR="00002F72" w:rsidRPr="00FE706B" w:rsidRDefault="00002F72" w:rsidP="00FE706B">
      <w:pPr>
        <w:tabs>
          <w:tab w:val="left" w:pos="-720"/>
        </w:tabs>
        <w:suppressAutoHyphens/>
        <w:spacing w:line="240" w:lineRule="atLeast"/>
        <w:jc w:val="center"/>
        <w:rPr>
          <w:rFonts w:ascii="Times New Roman" w:hAnsi="Times New Roman" w:cs="Times New Roman"/>
          <w:spacing w:val="-2"/>
          <w:sz w:val="22"/>
          <w:szCs w:val="22"/>
        </w:rPr>
      </w:pPr>
    </w:p>
    <w:p w:rsidR="00002F72" w:rsidRDefault="00002F72" w:rsidP="00E65E18">
      <w:pPr>
        <w:tabs>
          <w:tab w:val="left" w:pos="-720"/>
        </w:tabs>
        <w:suppressAutoHyphens/>
        <w:spacing w:line="240" w:lineRule="atLeast"/>
        <w:jc w:val="center"/>
        <w:rPr>
          <w:rFonts w:ascii="Times New Roman" w:hAnsi="Times New Roman" w:cs="Times New Roman"/>
          <w:spacing w:val="-2"/>
          <w:sz w:val="22"/>
          <w:szCs w:val="22"/>
        </w:rPr>
      </w:pPr>
      <w:r w:rsidRPr="00FE706B">
        <w:rPr>
          <w:rFonts w:ascii="Times New Roman" w:hAnsi="Times New Roman" w:cs="Times New Roman"/>
          <w:spacing w:val="-2"/>
          <w:sz w:val="22"/>
          <w:szCs w:val="22"/>
        </w:rPr>
        <w:t>S</w:t>
      </w:r>
      <w:r w:rsidR="00E65E18">
        <w:rPr>
          <w:rFonts w:ascii="Times New Roman" w:hAnsi="Times New Roman" w:cs="Times New Roman"/>
          <w:spacing w:val="-2"/>
          <w:sz w:val="22"/>
          <w:szCs w:val="22"/>
        </w:rPr>
        <w:t>OUTH CAROLINA COMMUNITY ECONOMIC DEVELOPMENT ACT</w:t>
      </w:r>
    </w:p>
    <w:p w:rsidR="00E65E18" w:rsidRPr="00FE706B" w:rsidRDefault="00E65E18" w:rsidP="00E65E18">
      <w:pPr>
        <w:tabs>
          <w:tab w:val="left" w:pos="-720"/>
        </w:tabs>
        <w:suppressAutoHyphens/>
        <w:spacing w:line="240" w:lineRule="atLeast"/>
        <w:jc w:val="center"/>
        <w:rPr>
          <w:rFonts w:ascii="Times New Roman" w:hAnsi="Times New Roman" w:cs="Times New Roman"/>
          <w:spacing w:val="-2"/>
          <w:sz w:val="22"/>
          <w:szCs w:val="22"/>
        </w:rPr>
      </w:pPr>
    </w:p>
    <w:p w:rsidR="00002F72" w:rsidRPr="00FE706B" w:rsidRDefault="00FE706B"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b/>
          <w:spacing w:val="-2"/>
          <w:sz w:val="22"/>
          <w:szCs w:val="22"/>
        </w:rPr>
        <w:t>SECTION</w:t>
      </w:r>
      <w:r w:rsidR="00002F72" w:rsidRPr="00FE706B">
        <w:rPr>
          <w:rFonts w:ascii="Times New Roman" w:hAnsi="Times New Roman" w:cs="Times New Roman"/>
          <w:b/>
          <w:spacing w:val="-2"/>
          <w:sz w:val="22"/>
          <w:szCs w:val="22"/>
        </w:rPr>
        <w:t xml:space="preserve"> 34–43–10.</w:t>
      </w:r>
      <w:r w:rsidR="00002F72" w:rsidRPr="00FE706B">
        <w:rPr>
          <w:rFonts w:ascii="Times New Roman" w:hAnsi="Times New Roman" w:cs="Times New Roman"/>
          <w:spacing w:val="-2"/>
          <w:sz w:val="22"/>
          <w:szCs w:val="22"/>
        </w:rPr>
        <w:t xml:space="preserve"> Citation of Act.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This chapter may be cited as the South Carolina Community Economic Development Act.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FE706B"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b/>
          <w:spacing w:val="-2"/>
          <w:sz w:val="22"/>
          <w:szCs w:val="22"/>
        </w:rPr>
        <w:t>SECTION</w:t>
      </w:r>
      <w:r w:rsidR="00002F72" w:rsidRPr="00FE706B">
        <w:rPr>
          <w:rFonts w:ascii="Times New Roman" w:hAnsi="Times New Roman" w:cs="Times New Roman"/>
          <w:b/>
          <w:spacing w:val="-2"/>
          <w:sz w:val="22"/>
          <w:szCs w:val="22"/>
        </w:rPr>
        <w:t xml:space="preserve"> 34–43–20.</w:t>
      </w:r>
      <w:r w:rsidR="00002F72" w:rsidRPr="00FE706B">
        <w:rPr>
          <w:rFonts w:ascii="Times New Roman" w:hAnsi="Times New Roman" w:cs="Times New Roman"/>
          <w:spacing w:val="-2"/>
          <w:sz w:val="22"/>
          <w:szCs w:val="22"/>
        </w:rPr>
        <w:t xml:space="preserve"> Definitions.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As used in this chapter:</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(1) "Department" means the South Carolina Department of Commerce.</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(2) "Community development corporation" means a nonprofit corporation which:</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 is chartered pursuant to Chapter 31, Title 33;</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(b) is tax exempt pursuant to Section 501(c)(3) of the Internal Revenue Code of 1986, as amended;</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(c) has a primary mission of developing and improving low</w:t>
      </w:r>
      <w:r w:rsidRPr="00FE706B">
        <w:rPr>
          <w:rFonts w:ascii="Times New Roman" w:hAnsi="Times New Roman" w:cs="Times New Roman"/>
          <w:spacing w:val="-2"/>
          <w:sz w:val="22"/>
          <w:szCs w:val="22"/>
        </w:rPr>
        <w:noBreakHyphen/>
        <w:t>income communities and neighborhoods through economic and related development;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(d) has activities and decisions initiated, managed, and controlled by the constituents of those local communities;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(f) does not provide credit, capital, or other assistance from public funds in an amount greater than twenty</w:t>
      </w:r>
      <w:r w:rsidRPr="00FE706B">
        <w:rPr>
          <w:rFonts w:ascii="Times New Roman" w:hAnsi="Times New Roman" w:cs="Times New Roman"/>
          <w:spacing w:val="-2"/>
          <w:sz w:val="22"/>
          <w:szCs w:val="22"/>
        </w:rPr>
        <w:noBreakHyphen/>
        <w:t>five thousand dollars at one time or in one transaction. The department may adjust that dollar amount in the manner provided in Section 37–1–109;  and</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(g) is not a nonprofit organization with the sole purpose of providing housing to neighborhoods or technical assistance to other nonprofit organizations.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(3) "Community development financial institution" means an organization that: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(b) maintains, through representation on its governing board, accountability to persons in need of the institution's services;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(c) is not an agent or instrumentality of the United States, or of a state or political subdivision of a state nor maintains an affiliate relationship with any of them;</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(d) maintains a goal of providing a majority of its services to low</w:t>
      </w:r>
      <w:r w:rsidRPr="00FE706B">
        <w:rPr>
          <w:rFonts w:ascii="Times New Roman" w:hAnsi="Times New Roman" w:cs="Times New Roman"/>
          <w:spacing w:val="-2"/>
          <w:sz w:val="22"/>
          <w:szCs w:val="22"/>
        </w:rPr>
        <w:noBreakHyphen/>
        <w:t xml:space="preserve">income individuals, minorities, females, or </w:t>
      </w:r>
      <w:r w:rsidRPr="00FE706B">
        <w:rPr>
          <w:rFonts w:ascii="Times New Roman" w:hAnsi="Times New Roman" w:cs="Times New Roman"/>
          <w:spacing w:val="-2"/>
          <w:sz w:val="22"/>
          <w:szCs w:val="22"/>
        </w:rPr>
        <w:lastRenderedPageBreak/>
        <w:t>rural areas;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(e) provides capital and technical assistance to small and micro businesses or mortgage assistance to individuals;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(f) does not provide credit, capital, or other assistance in an amount greater than two hundred fifty thousand dollars at one time or in one transaction. That dollar amount may be adjusted in the manner provided in Section 37–1–109;</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(g) has been certified or recertified as a community development financial institution as provided in this chapter;  and</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(h) may be a federally</w:t>
      </w:r>
      <w:r w:rsidRPr="00FE706B">
        <w:rPr>
          <w:rFonts w:ascii="Times New Roman" w:hAnsi="Times New Roman" w:cs="Times New Roman"/>
          <w:spacing w:val="-2"/>
          <w:sz w:val="22"/>
          <w:szCs w:val="22"/>
        </w:rPr>
        <w:noBreakHyphen/>
        <w:t>chartered or state</w:t>
      </w:r>
      <w:r w:rsidRPr="00FE706B">
        <w:rPr>
          <w:rFonts w:ascii="Times New Roman" w:hAnsi="Times New Roman" w:cs="Times New Roman"/>
          <w:spacing w:val="-2"/>
          <w:sz w:val="22"/>
          <w:szCs w:val="22"/>
        </w:rPr>
        <w:noBreakHyphen/>
        <w:t>chartered financial institution holding company which qualifies as a community development financial institution only if the holding company and the subsidiaries and affiliates of the holding company collectively satisfy the requirements of this section.</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(4) "Low income" means an income level that falls within the eightieth percentile of the mean income for a family of similar size within this State.</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(5) The term "invest" includes an advance of funds to a community development corporation or a community development financial institution.</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FE706B"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b/>
          <w:spacing w:val="-2"/>
          <w:sz w:val="22"/>
          <w:szCs w:val="22"/>
        </w:rPr>
        <w:t>SECTION</w:t>
      </w:r>
      <w:r w:rsidR="00002F72" w:rsidRPr="00FE706B">
        <w:rPr>
          <w:rFonts w:ascii="Times New Roman" w:hAnsi="Times New Roman" w:cs="Times New Roman"/>
          <w:b/>
          <w:spacing w:val="-2"/>
          <w:sz w:val="22"/>
          <w:szCs w:val="22"/>
        </w:rPr>
        <w:t xml:space="preserve"> 34–43–30.</w:t>
      </w:r>
      <w:r w:rsidR="00002F72" w:rsidRPr="00FE706B">
        <w:rPr>
          <w:rFonts w:ascii="Times New Roman" w:hAnsi="Times New Roman" w:cs="Times New Roman"/>
          <w:spacing w:val="-2"/>
          <w:sz w:val="22"/>
          <w:szCs w:val="22"/>
        </w:rPr>
        <w:t xml:space="preserve"> Duties and responsibilities of department;  authority to contract with entity to carry out;  annual report.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(1) certifying entities as community development corporations and community development financial institutions;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(2) administering grants and loans to community development corporations and community development financial institutions from grant funds made available to it by the General Assembly for that purpose;  and</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(3) providing technical support to assist community development corporations served pursuant to this section in developing their organizational capacity and implementing their projects successfully.</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(B) The department shall make an annual report to the General Assembly regarding the grants and loans administered and tax credits given pursuant to this chapter.</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FE706B" w:rsidP="00FE706B">
      <w:pPr>
        <w:tabs>
          <w:tab w:val="left" w:pos="-720"/>
        </w:tabs>
        <w:suppressAutoHyphens/>
        <w:spacing w:line="240" w:lineRule="atLeast"/>
        <w:jc w:val="both"/>
        <w:rPr>
          <w:rFonts w:ascii="Times New Roman" w:hAnsi="Times New Roman" w:cs="Times New Roman"/>
          <w:spacing w:val="-2"/>
          <w:sz w:val="22"/>
          <w:szCs w:val="22"/>
        </w:rPr>
      </w:pPr>
      <w:r w:rsidRPr="00BB06D5">
        <w:rPr>
          <w:rFonts w:ascii="Times New Roman" w:hAnsi="Times New Roman" w:cs="Times New Roman"/>
          <w:b/>
          <w:spacing w:val="-2"/>
          <w:sz w:val="22"/>
          <w:szCs w:val="22"/>
        </w:rPr>
        <w:t>SECTION</w:t>
      </w:r>
      <w:r w:rsidR="00002F72" w:rsidRPr="00BB06D5">
        <w:rPr>
          <w:rFonts w:ascii="Times New Roman" w:hAnsi="Times New Roman" w:cs="Times New Roman"/>
          <w:b/>
          <w:spacing w:val="-2"/>
          <w:sz w:val="22"/>
          <w:szCs w:val="22"/>
        </w:rPr>
        <w:t xml:space="preserve"> 34–43–40.</w:t>
      </w:r>
      <w:r w:rsidR="00002F72" w:rsidRPr="00FE706B">
        <w:rPr>
          <w:rFonts w:ascii="Times New Roman" w:hAnsi="Times New Roman" w:cs="Times New Roman"/>
          <w:spacing w:val="-2"/>
          <w:sz w:val="22"/>
          <w:szCs w:val="22"/>
        </w:rPr>
        <w:t xml:space="preserve"> Certification as community development corporation and community development financial institution;  application for and term, renewal and revocation of certification;  reports; notice and hearing;  tax credit.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(A) The department shall establish criteria for the certification of an entity as a community development corporation and as a community development financial institution consistent with the requirements of this chapter.</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 xml:space="preserve">(B) Application for certification must be in writing under oath and in the form prescribed by the department. It must contain the information the department requires, including names and addresses of the </w:t>
      </w:r>
      <w:r w:rsidRPr="00FE706B">
        <w:rPr>
          <w:rFonts w:ascii="Times New Roman" w:hAnsi="Times New Roman" w:cs="Times New Roman"/>
          <w:spacing w:val="-2"/>
          <w:sz w:val="22"/>
          <w:szCs w:val="22"/>
        </w:rPr>
        <w:lastRenderedPageBreak/>
        <w:t>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department's costs of investigating the applicant.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(C) Upon the filing of the application and payment of the fees, the department shall investigate the facts concerning the application and the requirements of either Section 34–43–20(2) or (3).</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(D) Certification of a community development corporation or a community development financial institution expires two years from the date of certification. This certification may be renewed for additional two</w:t>
      </w:r>
      <w:r w:rsidRPr="00FE706B">
        <w:rPr>
          <w:rFonts w:ascii="Times New Roman" w:hAnsi="Times New Roman" w:cs="Times New Roman"/>
          <w:spacing w:val="-2"/>
          <w:sz w:val="22"/>
          <w:szCs w:val="22"/>
        </w:rPr>
        <w:noBreakHyphen/>
        <w:t>year periods upon application by the corporation or institution and approval by the department.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34–43–30(B).</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(F) The department may not renew certification of a corporation or an institution unless it continues to comply with the regulations of the department and provisions of Section 34–43–20(2) or (3).</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(G) The department may revoke the certification of a corporation or an institution upon a finding that the corporation or institution does not comply with the provisions of Section 34–43–20(2) or (3).</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(I) A taxpayer may not claim the tax credit provided for in Section 12–6–3530 unless the corporation or institution in which the investment is made is certified by the department at the time the investment is made. A taxpayer who invested in good faith in a certified corporation or institution may claim the credit provided in Section 12–6–3530 notwithstanding the fact that the certification is later revoked or not renewed by the department.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FE706B" w:rsidP="00FE706B">
      <w:pPr>
        <w:tabs>
          <w:tab w:val="left" w:pos="-720"/>
        </w:tabs>
        <w:suppressAutoHyphens/>
        <w:spacing w:line="240" w:lineRule="atLeast"/>
        <w:jc w:val="both"/>
        <w:rPr>
          <w:rFonts w:ascii="Times New Roman" w:hAnsi="Times New Roman" w:cs="Times New Roman"/>
          <w:spacing w:val="-2"/>
          <w:sz w:val="22"/>
          <w:szCs w:val="22"/>
        </w:rPr>
      </w:pPr>
      <w:r w:rsidRPr="00BB06D5">
        <w:rPr>
          <w:rFonts w:ascii="Times New Roman" w:hAnsi="Times New Roman" w:cs="Times New Roman"/>
          <w:b/>
          <w:spacing w:val="-2"/>
          <w:sz w:val="22"/>
          <w:szCs w:val="22"/>
        </w:rPr>
        <w:t>SECTION</w:t>
      </w:r>
      <w:r w:rsidR="00002F72" w:rsidRPr="00BB06D5">
        <w:rPr>
          <w:rFonts w:ascii="Times New Roman" w:hAnsi="Times New Roman" w:cs="Times New Roman"/>
          <w:b/>
          <w:spacing w:val="-2"/>
          <w:sz w:val="22"/>
          <w:szCs w:val="22"/>
        </w:rPr>
        <w:t xml:space="preserve"> 34–43–50.</w:t>
      </w:r>
      <w:r w:rsidR="00002F72" w:rsidRPr="00FE706B">
        <w:rPr>
          <w:rFonts w:ascii="Times New Roman" w:hAnsi="Times New Roman" w:cs="Times New Roman"/>
          <w:spacing w:val="-2"/>
          <w:sz w:val="22"/>
          <w:szCs w:val="22"/>
        </w:rPr>
        <w:t xml:space="preserve"> Grants and loans.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 However, if the applicant is created after the effective date of this section, the applicant must present a strategic plan for community development projects and show evidence of developing an organizational structure which ensures proper management.</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(B) The total amount of grants and loans administered pursuant to this chapter may not exceed in the aggregate five million dollars for all recipients and all tax years and one million dollars for all recipients in one tax year.</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(C) A single community development corporation or community development financial institution may not receive more than ten percent of the total amount of grants and loans funds administered pursuant to this chapter in any one tax year.</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r w:rsidRPr="00FE706B">
        <w:rPr>
          <w:rFonts w:ascii="Times New Roman" w:hAnsi="Times New Roman" w:cs="Times New Roman"/>
          <w:spacing w:val="-2"/>
          <w:sz w:val="22"/>
          <w:szCs w:val="22"/>
        </w:rPr>
        <w:tab/>
        <w:t>(D) The department may receive funds from, among other sources, state appropriations and private contributions.</w:t>
      </w:r>
    </w:p>
    <w:p w:rsidR="00002F72" w:rsidRPr="00FE706B" w:rsidRDefault="00002F72" w:rsidP="00FE706B">
      <w:pPr>
        <w:tabs>
          <w:tab w:val="left" w:pos="-720"/>
        </w:tabs>
        <w:suppressAutoHyphens/>
        <w:spacing w:line="240" w:lineRule="atLeast"/>
        <w:jc w:val="both"/>
        <w:rPr>
          <w:rFonts w:ascii="Times New Roman" w:hAnsi="Times New Roman" w:cs="Times New Roman"/>
          <w:spacing w:val="-2"/>
          <w:sz w:val="22"/>
          <w:szCs w:val="22"/>
        </w:rPr>
      </w:pPr>
    </w:p>
    <w:sectPr w:rsidR="00002F72" w:rsidRPr="00FE706B" w:rsidSect="00002F72">
      <w:pgSz w:w="12240" w:h="15840"/>
      <w:pgMar w:top="1440" w:right="1440" w:bottom="1440" w:left="144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06B" w:rsidRDefault="00FE706B">
      <w:pPr>
        <w:spacing w:line="20" w:lineRule="exact"/>
        <w:rPr>
          <w:sz w:val="24"/>
          <w:szCs w:val="24"/>
        </w:rPr>
      </w:pPr>
    </w:p>
  </w:endnote>
  <w:endnote w:type="continuationSeparator" w:id="0">
    <w:p w:rsidR="00FE706B" w:rsidRDefault="00FE706B" w:rsidP="00002F72">
      <w:r>
        <w:rPr>
          <w:sz w:val="24"/>
          <w:szCs w:val="24"/>
        </w:rPr>
        <w:t xml:space="preserve"> </w:t>
      </w:r>
    </w:p>
  </w:endnote>
  <w:endnote w:type="continuationNotice" w:id="1">
    <w:p w:rsidR="00FE706B" w:rsidRDefault="00FE706B" w:rsidP="00002F72">
      <w:r>
        <w:rPr>
          <w:sz w:val="24"/>
          <w:szCs w:val="24"/>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06B" w:rsidRDefault="00FE706B" w:rsidP="00002F72">
      <w:r>
        <w:rPr>
          <w:sz w:val="24"/>
          <w:szCs w:val="24"/>
        </w:rPr>
        <w:separator/>
      </w:r>
    </w:p>
  </w:footnote>
  <w:footnote w:type="continuationSeparator" w:id="0">
    <w:p w:rsidR="00FE706B" w:rsidRDefault="00FE706B" w:rsidP="00002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
  <w:rsids>
    <w:rsidRoot w:val="00002F72"/>
    <w:rsid w:val="00002F72"/>
    <w:rsid w:val="001379FC"/>
    <w:rsid w:val="002231D0"/>
    <w:rsid w:val="00371DC2"/>
    <w:rsid w:val="004C7297"/>
    <w:rsid w:val="00625D8C"/>
    <w:rsid w:val="006A67B1"/>
    <w:rsid w:val="007D78CE"/>
    <w:rsid w:val="0090017B"/>
    <w:rsid w:val="00940750"/>
    <w:rsid w:val="00AA5904"/>
    <w:rsid w:val="00BB06D5"/>
    <w:rsid w:val="00E65E18"/>
    <w:rsid w:val="00FE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78CE"/>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7D78CE"/>
    <w:rPr>
      <w:sz w:val="24"/>
      <w:szCs w:val="24"/>
    </w:rPr>
  </w:style>
  <w:style w:type="character" w:customStyle="1" w:styleId="EndnoteTextChar">
    <w:name w:val="Endnote Text Char"/>
    <w:basedOn w:val="DefaultParagraphFont"/>
    <w:link w:val="EndnoteText"/>
    <w:uiPriority w:val="99"/>
    <w:semiHidden/>
    <w:rsid w:val="00002F72"/>
    <w:rPr>
      <w:rFonts w:ascii="Courier New" w:hAnsi="Courier New" w:cs="Courier New"/>
      <w:sz w:val="20"/>
      <w:szCs w:val="20"/>
    </w:rPr>
  </w:style>
  <w:style w:type="character" w:styleId="EndnoteReference">
    <w:name w:val="endnote reference"/>
    <w:basedOn w:val="DefaultParagraphFont"/>
    <w:uiPriority w:val="99"/>
    <w:rsid w:val="007D78CE"/>
    <w:rPr>
      <w:vertAlign w:val="superscript"/>
    </w:rPr>
  </w:style>
  <w:style w:type="paragraph" w:styleId="FootnoteText">
    <w:name w:val="footnote text"/>
    <w:basedOn w:val="Normal"/>
    <w:link w:val="FootnoteTextChar"/>
    <w:uiPriority w:val="99"/>
    <w:rsid w:val="007D78CE"/>
    <w:rPr>
      <w:sz w:val="24"/>
      <w:szCs w:val="24"/>
    </w:rPr>
  </w:style>
  <w:style w:type="character" w:customStyle="1" w:styleId="FootnoteTextChar">
    <w:name w:val="Footnote Text Char"/>
    <w:basedOn w:val="DefaultParagraphFont"/>
    <w:link w:val="FootnoteText"/>
    <w:uiPriority w:val="99"/>
    <w:semiHidden/>
    <w:rsid w:val="00002F72"/>
    <w:rPr>
      <w:rFonts w:ascii="Courier New" w:hAnsi="Courier New" w:cs="Courier New"/>
      <w:sz w:val="20"/>
      <w:szCs w:val="20"/>
    </w:rPr>
  </w:style>
  <w:style w:type="character" w:styleId="FootnoteReference">
    <w:name w:val="footnote reference"/>
    <w:basedOn w:val="DefaultParagraphFont"/>
    <w:uiPriority w:val="99"/>
    <w:rsid w:val="007D78CE"/>
    <w:rPr>
      <w:vertAlign w:val="superscript"/>
    </w:rPr>
  </w:style>
  <w:style w:type="paragraph" w:styleId="TOC1">
    <w:name w:val="toc 1"/>
    <w:basedOn w:val="Normal"/>
    <w:next w:val="Normal"/>
    <w:uiPriority w:val="99"/>
    <w:rsid w:val="007D78CE"/>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7D78CE"/>
    <w:pPr>
      <w:tabs>
        <w:tab w:val="right" w:leader="dot" w:pos="9360"/>
      </w:tabs>
      <w:suppressAutoHyphens/>
      <w:spacing w:line="240" w:lineRule="atLeast"/>
      <w:ind w:left="720" w:right="720"/>
    </w:pPr>
  </w:style>
  <w:style w:type="paragraph" w:styleId="TOC3">
    <w:name w:val="toc 3"/>
    <w:basedOn w:val="Normal"/>
    <w:next w:val="Normal"/>
    <w:uiPriority w:val="99"/>
    <w:rsid w:val="007D78CE"/>
    <w:pPr>
      <w:tabs>
        <w:tab w:val="right" w:leader="dot" w:pos="9360"/>
      </w:tabs>
      <w:suppressAutoHyphens/>
      <w:spacing w:line="240" w:lineRule="atLeast"/>
      <w:ind w:left="720" w:right="720"/>
    </w:pPr>
  </w:style>
  <w:style w:type="paragraph" w:styleId="TOC4">
    <w:name w:val="toc 4"/>
    <w:basedOn w:val="Normal"/>
    <w:next w:val="Normal"/>
    <w:uiPriority w:val="99"/>
    <w:rsid w:val="007D78CE"/>
    <w:pPr>
      <w:tabs>
        <w:tab w:val="right" w:leader="dot" w:pos="9360"/>
      </w:tabs>
      <w:suppressAutoHyphens/>
      <w:spacing w:line="240" w:lineRule="atLeast"/>
      <w:ind w:left="720" w:right="720"/>
    </w:pPr>
  </w:style>
  <w:style w:type="paragraph" w:styleId="TOC5">
    <w:name w:val="toc 5"/>
    <w:basedOn w:val="Normal"/>
    <w:next w:val="Normal"/>
    <w:uiPriority w:val="99"/>
    <w:rsid w:val="007D78CE"/>
    <w:pPr>
      <w:tabs>
        <w:tab w:val="right" w:leader="dot" w:pos="9360"/>
      </w:tabs>
      <w:suppressAutoHyphens/>
      <w:spacing w:line="240" w:lineRule="atLeast"/>
      <w:ind w:left="720" w:right="720"/>
    </w:pPr>
  </w:style>
  <w:style w:type="paragraph" w:styleId="TOC6">
    <w:name w:val="toc 6"/>
    <w:basedOn w:val="Normal"/>
    <w:next w:val="Normal"/>
    <w:uiPriority w:val="99"/>
    <w:rsid w:val="007D78CE"/>
    <w:pPr>
      <w:tabs>
        <w:tab w:val="right" w:pos="9360"/>
      </w:tabs>
      <w:suppressAutoHyphens/>
      <w:spacing w:line="240" w:lineRule="atLeast"/>
      <w:ind w:left="720" w:hanging="720"/>
    </w:pPr>
  </w:style>
  <w:style w:type="paragraph" w:styleId="TOC7">
    <w:name w:val="toc 7"/>
    <w:basedOn w:val="Normal"/>
    <w:next w:val="Normal"/>
    <w:uiPriority w:val="99"/>
    <w:rsid w:val="007D78CE"/>
    <w:pPr>
      <w:suppressAutoHyphens/>
      <w:spacing w:line="240" w:lineRule="atLeast"/>
      <w:ind w:left="720" w:hanging="720"/>
    </w:pPr>
  </w:style>
  <w:style w:type="paragraph" w:styleId="TOC8">
    <w:name w:val="toc 8"/>
    <w:basedOn w:val="Normal"/>
    <w:next w:val="Normal"/>
    <w:uiPriority w:val="99"/>
    <w:rsid w:val="007D78CE"/>
    <w:pPr>
      <w:tabs>
        <w:tab w:val="right" w:pos="9360"/>
      </w:tabs>
      <w:suppressAutoHyphens/>
      <w:spacing w:line="240" w:lineRule="atLeast"/>
      <w:ind w:left="720" w:hanging="720"/>
    </w:pPr>
  </w:style>
  <w:style w:type="paragraph" w:styleId="TOC9">
    <w:name w:val="toc 9"/>
    <w:basedOn w:val="Normal"/>
    <w:next w:val="Normal"/>
    <w:uiPriority w:val="99"/>
    <w:rsid w:val="007D78CE"/>
    <w:pPr>
      <w:tabs>
        <w:tab w:val="right" w:leader="dot" w:pos="9360"/>
      </w:tabs>
      <w:suppressAutoHyphens/>
      <w:spacing w:line="240" w:lineRule="atLeast"/>
      <w:ind w:left="720" w:hanging="720"/>
    </w:pPr>
  </w:style>
  <w:style w:type="paragraph" w:styleId="Index1">
    <w:name w:val="index 1"/>
    <w:basedOn w:val="Normal"/>
    <w:next w:val="Normal"/>
    <w:uiPriority w:val="99"/>
    <w:rsid w:val="007D78CE"/>
    <w:pPr>
      <w:tabs>
        <w:tab w:val="right" w:leader="dot" w:pos="9360"/>
      </w:tabs>
      <w:suppressAutoHyphens/>
      <w:spacing w:line="240" w:lineRule="atLeast"/>
      <w:ind w:left="720" w:hanging="720"/>
    </w:pPr>
  </w:style>
  <w:style w:type="paragraph" w:styleId="Index2">
    <w:name w:val="index 2"/>
    <w:basedOn w:val="Normal"/>
    <w:next w:val="Normal"/>
    <w:uiPriority w:val="99"/>
    <w:rsid w:val="007D78CE"/>
    <w:pPr>
      <w:tabs>
        <w:tab w:val="right" w:leader="dot" w:pos="9360"/>
      </w:tabs>
      <w:suppressAutoHyphens/>
      <w:spacing w:line="240" w:lineRule="atLeast"/>
      <w:ind w:left="720"/>
    </w:pPr>
  </w:style>
  <w:style w:type="paragraph" w:styleId="TOAHeading">
    <w:name w:val="toa heading"/>
    <w:basedOn w:val="Normal"/>
    <w:next w:val="Normal"/>
    <w:uiPriority w:val="99"/>
    <w:rsid w:val="007D78CE"/>
    <w:pPr>
      <w:tabs>
        <w:tab w:val="right" w:pos="9360"/>
      </w:tabs>
      <w:suppressAutoHyphens/>
      <w:spacing w:line="240" w:lineRule="atLeast"/>
    </w:pPr>
  </w:style>
  <w:style w:type="paragraph" w:styleId="Caption">
    <w:name w:val="caption"/>
    <w:basedOn w:val="Normal"/>
    <w:next w:val="Normal"/>
    <w:uiPriority w:val="99"/>
    <w:qFormat/>
    <w:rsid w:val="007D78CE"/>
    <w:rPr>
      <w:sz w:val="24"/>
      <w:szCs w:val="24"/>
    </w:rPr>
  </w:style>
  <w:style w:type="character" w:customStyle="1" w:styleId="EquationCaption">
    <w:name w:val="_Equation Caption"/>
    <w:uiPriority w:val="99"/>
    <w:rsid w:val="007D78CE"/>
  </w:style>
  <w:style w:type="character" w:styleId="Hyperlink">
    <w:name w:val="Hyperlink"/>
    <w:basedOn w:val="DefaultParagraphFont"/>
    <w:semiHidden/>
    <w:unhideWhenUsed/>
    <w:rsid w:val="00AA5904"/>
    <w:rPr>
      <w:color w:val="0000FF"/>
      <w:u w:val="single"/>
    </w:rPr>
  </w:style>
</w:styles>
</file>

<file path=word/webSettings.xml><?xml version="1.0" encoding="utf-8"?>
<w:webSettings xmlns:r="http://schemas.openxmlformats.org/officeDocument/2006/relationships" xmlns:w="http://schemas.openxmlformats.org/wordprocessingml/2006/main">
  <w:divs>
    <w:div w:id="1287856211">
      <w:bodyDiv w:val="1"/>
      <w:marLeft w:val="0"/>
      <w:marRight w:val="0"/>
      <w:marTop w:val="0"/>
      <w:marBottom w:val="0"/>
      <w:divBdr>
        <w:top w:val="none" w:sz="0" w:space="0" w:color="auto"/>
        <w:left w:val="none" w:sz="0" w:space="0" w:color="auto"/>
        <w:bottom w:val="none" w:sz="0" w:space="0" w:color="auto"/>
        <w:right w:val="none" w:sz="0" w:space="0" w:color="auto"/>
      </w:divBdr>
    </w:div>
    <w:div w:id="13275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PITS@scstatehou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1730</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XP2 Image</dc:creator>
  <cp:keywords/>
  <dc:description/>
  <cp:lastModifiedBy>CONNIEHOUGH</cp:lastModifiedBy>
  <cp:revision>3</cp:revision>
  <dcterms:created xsi:type="dcterms:W3CDTF">2011-06-29T18:08:00Z</dcterms:created>
  <dcterms:modified xsi:type="dcterms:W3CDTF">2011-06-30T14:32:00Z</dcterms:modified>
</cp:coreProperties>
</file>