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EB" w:rsidRDefault="00A964EB">
      <w:pPr>
        <w:jc w:val="center"/>
      </w:pPr>
      <w:r>
        <w:t>DISCLAIMER</w:t>
      </w:r>
    </w:p>
    <w:p w:rsidR="00A964EB" w:rsidRDefault="00A964EB"/>
    <w:p w:rsidR="00A964EB" w:rsidRDefault="00A964E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964EB" w:rsidRDefault="00A964EB"/>
    <w:p w:rsidR="00A964EB" w:rsidRDefault="00A964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4EB" w:rsidRDefault="00A964EB"/>
    <w:p w:rsidR="00A964EB" w:rsidRDefault="00A964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4EB" w:rsidRDefault="00A964EB"/>
    <w:p w:rsidR="00A964EB" w:rsidRDefault="00A964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64EB" w:rsidRDefault="00A964EB"/>
    <w:p w:rsidR="00A964EB" w:rsidRDefault="00A964EB">
      <w:r>
        <w:br w:type="page"/>
      </w:r>
    </w:p>
    <w:p w:rsid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82">
        <w:t>CHAPTER 69.</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82">
        <w:t xml:space="preserve"> SUBPOENAS AND SUBPOENAS DUCES TECUM</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10.</w:t>
      </w:r>
      <w:r w:rsidR="007413DD" w:rsidRPr="00E41E82">
        <w:t xml:space="preserve"> Authority of standing committees to issue subpoenas and subpoenas duces tecum.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 xml:space="preserve">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1.</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color w:val="000000"/>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20.</w:t>
      </w:r>
      <w:r w:rsidR="007413DD" w:rsidRPr="00E41E82">
        <w:t xml:space="preserve"> Requests by joint study committees that subpoenas and subpoenas duces tecum be issued.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E41E82" w:rsidRPr="00E41E82">
        <w:rPr>
          <w:color w:val="000000"/>
        </w:rPr>
        <w:t xml:space="preserve">Section </w:t>
      </w:r>
      <w:r w:rsidRPr="00E41E82">
        <w:rPr>
          <w:color w:val="000000"/>
        </w:rPr>
        <w:t>2</w:t>
      </w:r>
      <w:r w:rsidR="00E41E82" w:rsidRPr="00E41E82">
        <w:rPr>
          <w:color w:val="000000"/>
        </w:rPr>
        <w:noBreakHyphen/>
      </w:r>
      <w:r w:rsidRPr="00E41E82">
        <w:rPr>
          <w:color w:val="000000"/>
        </w:rPr>
        <w:t>69</w:t>
      </w:r>
      <w:r w:rsidR="00E41E82" w:rsidRPr="00E41E82">
        <w:rPr>
          <w:color w:val="000000"/>
        </w:rPr>
        <w:noBreakHyphen/>
      </w:r>
      <w:r w:rsidRPr="00E41E82">
        <w:rPr>
          <w:color w:val="000000"/>
        </w:rPr>
        <w:t xml:space="preserve">40.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2.</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color w:val="000000"/>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30.</w:t>
      </w:r>
      <w:r w:rsidR="007413DD" w:rsidRPr="00E41E82">
        <w:t xml:space="preserve"> Authority of committee to administer oaths and affirmations, take depositions, and receive testimony and evidence.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 xml:space="preserve">The committee, in the discharge of its duties, may administer oaths and affirmations, take depositions, and receive testimony and evidence as necessary in connection with its work, study, or investigation.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3.</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color w:val="000000"/>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40.</w:t>
      </w:r>
      <w:r w:rsidR="007413DD" w:rsidRPr="00E41E82">
        <w:t xml:space="preserve"> Conditions upon issuance of subpoenas;  signatures of President Pro Tempore of Senate and Speaker of House of Representatives.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3DD"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E41E82" w:rsidRPr="00E41E82">
        <w:rPr>
          <w:color w:val="000000"/>
        </w:rPr>
        <w:noBreakHyphen/>
      </w:r>
      <w:r w:rsidRPr="00E41E82">
        <w:rPr>
          <w:color w:val="000000"/>
        </w:rPr>
        <w:t>signed by both the President Pro Tempore of the Senate and the Speaker of the House of Representatives.  Subpoenas and subpoenas duces tecum which are issued by a standing committee of the Senate must be co</w:t>
      </w:r>
      <w:r w:rsidR="00E41E82" w:rsidRPr="00E41E82">
        <w:rPr>
          <w:color w:val="000000"/>
        </w:rPr>
        <w:noBreakHyphen/>
      </w:r>
      <w:r w:rsidRPr="00E41E82">
        <w:rPr>
          <w:color w:val="000000"/>
        </w:rPr>
        <w:t>signed by the President Pro Tempore of the Senate.  Subpoenas and subpoenas duces tecum which are issued by the House of Representatives must be co</w:t>
      </w:r>
      <w:r w:rsidR="00E41E82" w:rsidRPr="00E41E82">
        <w:rPr>
          <w:color w:val="000000"/>
        </w:rPr>
        <w:noBreakHyphen/>
      </w:r>
      <w:r w:rsidRPr="00E41E82">
        <w:rPr>
          <w:color w:val="000000"/>
        </w:rPr>
        <w:t>signed by the Speaker of the House of Representatives.  If the President Pro Tempore of the Senate refuses to co</w:t>
      </w:r>
      <w:r w:rsidR="00E41E82" w:rsidRPr="00E41E82">
        <w:rPr>
          <w:color w:val="000000"/>
        </w:rPr>
        <w:noBreakHyphen/>
      </w:r>
      <w:r w:rsidRPr="00E41E82">
        <w:rPr>
          <w:color w:val="000000"/>
        </w:rPr>
        <w:t>sign the subpoena or subpoena duces tecum, the requirement that the subpoena or subpoena duces tecum must be co</w:t>
      </w:r>
      <w:r w:rsidR="00E41E82" w:rsidRPr="00E41E82">
        <w:rPr>
          <w:color w:val="000000"/>
        </w:rPr>
        <w:noBreakHyphen/>
      </w:r>
      <w:r w:rsidRPr="00E41E82">
        <w:rPr>
          <w:color w:val="000000"/>
        </w:rPr>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E41E82" w:rsidRPr="00E41E82">
        <w:rPr>
          <w:color w:val="000000"/>
        </w:rPr>
        <w:noBreakHyphen/>
      </w:r>
      <w:r w:rsidRPr="00E41E82">
        <w:rPr>
          <w:color w:val="000000"/>
        </w:rPr>
        <w:t>sign the subpoena or subpoena duces tecum, the requirement that the subpoena or subpoena duces tecum must be co</w:t>
      </w:r>
      <w:r w:rsidR="00E41E82" w:rsidRPr="00E41E82">
        <w:rPr>
          <w:color w:val="000000"/>
        </w:rPr>
        <w:noBreakHyphen/>
      </w:r>
      <w:r w:rsidRPr="00E41E82">
        <w:rPr>
          <w:color w:val="000000"/>
        </w:rPr>
        <w:t>signed by the Speaker of the House of Representatives may be suspended as to that particular subpoena or subpoena duces tecum by a majority vote of the members of the House of Representatives present and voting.  In determining whether or not to co</w:t>
      </w:r>
      <w:r w:rsidR="00E41E82" w:rsidRPr="00E41E82">
        <w:rPr>
          <w:color w:val="000000"/>
        </w:rPr>
        <w:noBreakHyphen/>
      </w:r>
      <w:r w:rsidRPr="00E41E82">
        <w:rPr>
          <w:color w:val="000000"/>
        </w:rPr>
        <w:t xml:space="preserve">sign the subpoena or subpoena duces tecum, the President Pro Tempore of the Senate or the Speaker of the House of Representatives must conclude that: </w:t>
      </w:r>
    </w:p>
    <w:p w:rsidR="007413DD"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r>
      <w:r w:rsidRPr="00E41E82">
        <w:rPr>
          <w:color w:val="000000"/>
        </w:rPr>
        <w:tab/>
        <w:t>(1) The information sought by the subpoena is within the scope of the committee</w:t>
      </w:r>
      <w:r w:rsidR="00E41E82" w:rsidRPr="00E41E82">
        <w:rPr>
          <w:color w:val="000000"/>
        </w:rPr>
        <w:t>'</w:t>
      </w:r>
      <w:r w:rsidRPr="00E41E82">
        <w:rPr>
          <w:color w:val="000000"/>
        </w:rPr>
        <w:t xml:space="preserve">s jurisdiction; </w:t>
      </w:r>
    </w:p>
    <w:p w:rsidR="007413DD"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r>
      <w:r w:rsidRPr="00E41E82">
        <w:rPr>
          <w:color w:val="000000"/>
        </w:rPr>
        <w:tab/>
        <w:t xml:space="preserve">(2) The information is relevant to a legitimate legislative purpose; </w:t>
      </w:r>
    </w:p>
    <w:p w:rsidR="007413DD"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r>
      <w:r w:rsidRPr="00E41E82">
        <w:rPr>
          <w:color w:val="000000"/>
        </w:rPr>
        <w:tab/>
        <w:t xml:space="preserve">(3) The nature of the information sought is as clearly described as possible in the subpoena or the authorizing resolution; </w:t>
      </w:r>
    </w:p>
    <w:p w:rsidR="007413DD"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r>
      <w:r w:rsidRPr="00E41E82">
        <w:rPr>
          <w:color w:val="000000"/>
        </w:rPr>
        <w:tab/>
        <w:t xml:space="preserve">(4) The subpoena does not intrude impermissibly upon civil liberties; </w:t>
      </w:r>
    </w:p>
    <w:p w:rsidR="007413DD"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r>
      <w:r w:rsidRPr="00E41E82">
        <w:rPr>
          <w:color w:val="000000"/>
        </w:rPr>
        <w:tab/>
        <w:t>(5) The revelation of the information subpoenaed would not unduly intrude into the decision</w:t>
      </w:r>
      <w:r w:rsidR="00E41E82" w:rsidRPr="00E41E82">
        <w:rPr>
          <w:color w:val="000000"/>
        </w:rPr>
        <w:noBreakHyphen/>
      </w:r>
      <w:r w:rsidRPr="00E41E82">
        <w:rPr>
          <w:color w:val="000000"/>
        </w:rPr>
        <w:t xml:space="preserve">making processes of other branches of government;  and </w:t>
      </w: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lastRenderedPageBreak/>
        <w:tab/>
      </w:r>
      <w:r w:rsidRPr="00E41E82">
        <w:rPr>
          <w:color w:val="000000"/>
        </w:rPr>
        <w:tab/>
        <w:t xml:space="preserve">(6) A subpoena issued to a local government does not violate the provisions of Articles VII and VIII of the Constitution of South Carolina, 1895, and Title 4 of the Code of Laws of South Carolina, 1976.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4.</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color w:val="000000"/>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50.</w:t>
      </w:r>
      <w:r w:rsidR="007413DD" w:rsidRPr="00E41E82">
        <w:t xml:space="preserve"> Requests for protective order;  receipt of evidence in executive session.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 xml:space="preserve">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5.</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color w:val="000000"/>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60.</w:t>
      </w:r>
      <w:r w:rsidR="007413DD" w:rsidRPr="00E41E82">
        <w:t xml:space="preserve"> Issuance by court of common pleas of order requiring obedience to subpoena;  punishment of disobedience as contempt.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 xml:space="preserve">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6.</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E82">
        <w:rPr>
          <w:rFonts w:cs="Times New Roman"/>
          <w:b/>
          <w:color w:val="000000"/>
        </w:rPr>
        <w:t xml:space="preserve">SECTION </w:t>
      </w:r>
      <w:r w:rsidR="007413DD" w:rsidRPr="00E41E82">
        <w:rPr>
          <w:rFonts w:cs="Times New Roman"/>
          <w:b/>
        </w:rPr>
        <w:t>2</w:t>
      </w:r>
      <w:r w:rsidRPr="00E41E82">
        <w:rPr>
          <w:rFonts w:cs="Times New Roman"/>
          <w:b/>
        </w:rPr>
        <w:noBreakHyphen/>
      </w:r>
      <w:r w:rsidR="007413DD" w:rsidRPr="00E41E82">
        <w:rPr>
          <w:rFonts w:cs="Times New Roman"/>
          <w:b/>
        </w:rPr>
        <w:t>69</w:t>
      </w:r>
      <w:r w:rsidRPr="00E41E82">
        <w:rPr>
          <w:rFonts w:cs="Times New Roman"/>
          <w:b/>
        </w:rPr>
        <w:noBreakHyphen/>
      </w:r>
      <w:r w:rsidR="007413DD" w:rsidRPr="00E41E82">
        <w:rPr>
          <w:rFonts w:cs="Times New Roman"/>
          <w:b/>
        </w:rPr>
        <w:t>70.</w:t>
      </w:r>
      <w:r w:rsidR="007413DD" w:rsidRPr="00E41E82">
        <w:t xml:space="preserve"> Good faith reliance by party subject to subpoena duces tecum as defense to action. </w:t>
      </w:r>
    </w:p>
    <w:p w:rsid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E82" w:rsidRPr="00E41E82" w:rsidRDefault="007413DD"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1E82">
        <w:rPr>
          <w:color w:val="000000"/>
        </w:rPr>
        <w:tab/>
        <w:t xml:space="preserve">A good faith reliance by the party subject to the subpoena duces tecum, issued pursuant to this chapter is a defense to any action, civil or criminal, arising from the production of records, documents, or other tangible materials in response to the subpoena. </w:t>
      </w:r>
    </w:p>
    <w:p w:rsidR="00E41E82" w:rsidRPr="00E41E82" w:rsidRDefault="00E41E82"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3DD" w:rsidRPr="00E41E82">
        <w:rPr>
          <w:color w:val="000000"/>
        </w:rPr>
        <w:t xml:space="preserve">  1986 Act No. 352, </w:t>
      </w:r>
      <w:r w:rsidR="00E41E82" w:rsidRPr="00E41E82">
        <w:rPr>
          <w:color w:val="000000"/>
        </w:rPr>
        <w:t xml:space="preserve">Section </w:t>
      </w:r>
      <w:r w:rsidR="007413DD" w:rsidRPr="00E41E82">
        <w:rPr>
          <w:color w:val="000000"/>
        </w:rPr>
        <w:t>7.</w:t>
      </w:r>
    </w:p>
    <w:p w:rsidR="00A964EB" w:rsidRDefault="00A964EB"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1E82" w:rsidRDefault="00184435" w:rsidP="00E41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1E82" w:rsidSect="00E41E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E82" w:rsidRDefault="00E41E82" w:rsidP="00E41E82">
      <w:r>
        <w:separator/>
      </w:r>
    </w:p>
  </w:endnote>
  <w:endnote w:type="continuationSeparator" w:id="0">
    <w:p w:rsidR="00E41E82" w:rsidRDefault="00E41E82" w:rsidP="00E41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82" w:rsidRPr="00E41E82" w:rsidRDefault="00E41E82" w:rsidP="00E41E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82" w:rsidRPr="00E41E82" w:rsidRDefault="00E41E82" w:rsidP="00E41E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82" w:rsidRPr="00E41E82" w:rsidRDefault="00E41E82" w:rsidP="00E41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E82" w:rsidRDefault="00E41E82" w:rsidP="00E41E82">
      <w:r>
        <w:separator/>
      </w:r>
    </w:p>
  </w:footnote>
  <w:footnote w:type="continuationSeparator" w:id="0">
    <w:p w:rsidR="00E41E82" w:rsidRDefault="00E41E82" w:rsidP="00E41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82" w:rsidRPr="00E41E82" w:rsidRDefault="00E41E82" w:rsidP="00E41E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82" w:rsidRPr="00E41E82" w:rsidRDefault="00E41E82" w:rsidP="00E41E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82" w:rsidRPr="00E41E82" w:rsidRDefault="00E41E82" w:rsidP="00E41E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13D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13DD"/>
    <w:rsid w:val="007A5331"/>
    <w:rsid w:val="00814A87"/>
    <w:rsid w:val="00817EA2"/>
    <w:rsid w:val="008B024A"/>
    <w:rsid w:val="008E2913"/>
    <w:rsid w:val="008E559A"/>
    <w:rsid w:val="00903FD2"/>
    <w:rsid w:val="009149AF"/>
    <w:rsid w:val="00916042"/>
    <w:rsid w:val="009C1AED"/>
    <w:rsid w:val="009D78E6"/>
    <w:rsid w:val="009E52EE"/>
    <w:rsid w:val="009E7CCA"/>
    <w:rsid w:val="00A310EE"/>
    <w:rsid w:val="00A34B80"/>
    <w:rsid w:val="00A54BC5"/>
    <w:rsid w:val="00A62FD5"/>
    <w:rsid w:val="00A964EB"/>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1E82"/>
    <w:rsid w:val="00E9191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1E82"/>
    <w:pPr>
      <w:tabs>
        <w:tab w:val="center" w:pos="4680"/>
        <w:tab w:val="right" w:pos="9360"/>
      </w:tabs>
    </w:pPr>
  </w:style>
  <w:style w:type="character" w:customStyle="1" w:styleId="HeaderChar">
    <w:name w:val="Header Char"/>
    <w:basedOn w:val="DefaultParagraphFont"/>
    <w:link w:val="Header"/>
    <w:uiPriority w:val="99"/>
    <w:semiHidden/>
    <w:rsid w:val="00E41E82"/>
  </w:style>
  <w:style w:type="paragraph" w:styleId="Footer">
    <w:name w:val="footer"/>
    <w:basedOn w:val="Normal"/>
    <w:link w:val="FooterChar"/>
    <w:uiPriority w:val="99"/>
    <w:semiHidden/>
    <w:unhideWhenUsed/>
    <w:rsid w:val="00E41E82"/>
    <w:pPr>
      <w:tabs>
        <w:tab w:val="center" w:pos="4680"/>
        <w:tab w:val="right" w:pos="9360"/>
      </w:tabs>
    </w:pPr>
  </w:style>
  <w:style w:type="character" w:customStyle="1" w:styleId="FooterChar">
    <w:name w:val="Footer Char"/>
    <w:basedOn w:val="DefaultParagraphFont"/>
    <w:link w:val="Footer"/>
    <w:uiPriority w:val="99"/>
    <w:semiHidden/>
    <w:rsid w:val="00E41E82"/>
  </w:style>
  <w:style w:type="paragraph" w:styleId="BalloonText">
    <w:name w:val="Balloon Text"/>
    <w:basedOn w:val="Normal"/>
    <w:link w:val="BalloonTextChar"/>
    <w:uiPriority w:val="99"/>
    <w:semiHidden/>
    <w:unhideWhenUsed/>
    <w:rsid w:val="007413DD"/>
    <w:rPr>
      <w:rFonts w:ascii="Tahoma" w:hAnsi="Tahoma" w:cs="Tahoma"/>
      <w:sz w:val="16"/>
      <w:szCs w:val="16"/>
    </w:rPr>
  </w:style>
  <w:style w:type="character" w:customStyle="1" w:styleId="BalloonTextChar">
    <w:name w:val="Balloon Text Char"/>
    <w:basedOn w:val="DefaultParagraphFont"/>
    <w:link w:val="BalloonText"/>
    <w:uiPriority w:val="99"/>
    <w:semiHidden/>
    <w:rsid w:val="007413DD"/>
    <w:rPr>
      <w:rFonts w:ascii="Tahoma" w:hAnsi="Tahoma" w:cs="Tahoma"/>
      <w:sz w:val="16"/>
      <w:szCs w:val="16"/>
    </w:rPr>
  </w:style>
  <w:style w:type="character" w:styleId="Hyperlink">
    <w:name w:val="Hyperlink"/>
    <w:basedOn w:val="DefaultParagraphFont"/>
    <w:semiHidden/>
    <w:rsid w:val="00A964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7914</Characters>
  <Application>Microsoft Office Word</Application>
  <DocSecurity>0</DocSecurity>
  <Lines>65</Lines>
  <Paragraphs>18</Paragraphs>
  <ScaleCrop>false</ScaleCrop>
  <Company>LPITS</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