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EA" w:rsidRDefault="00C326EA">
      <w:pPr>
        <w:jc w:val="center"/>
      </w:pPr>
      <w:r>
        <w:t>DISCLAIMER</w:t>
      </w:r>
    </w:p>
    <w:p w:rsidR="00C326EA" w:rsidRDefault="00C326EA"/>
    <w:p w:rsidR="00C326EA" w:rsidRDefault="00C326E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326EA" w:rsidRDefault="00C326EA"/>
    <w:p w:rsidR="00C326EA" w:rsidRDefault="00C326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26EA" w:rsidRDefault="00C326EA"/>
    <w:p w:rsidR="00C326EA" w:rsidRDefault="00C326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26EA" w:rsidRDefault="00C326EA"/>
    <w:p w:rsidR="00C326EA" w:rsidRDefault="00C326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26EA" w:rsidRDefault="00C326EA"/>
    <w:p w:rsidR="00C326EA" w:rsidRDefault="00C326EA">
      <w:r>
        <w:br w:type="page"/>
      </w:r>
    </w:p>
    <w:p w:rsid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09A">
        <w:t>CHAPTER 10.</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26E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09A">
        <w:t xml:space="preserve"> ENERGY STANDARD ACT</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10.</w:t>
      </w:r>
      <w:r w:rsidR="00406A5A" w:rsidRPr="00BD209A">
        <w:t xml:space="preserve"> Short title.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This chapter may be cited as the Energy Standard Act.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1;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20.</w:t>
      </w:r>
      <w:r w:rsidR="00406A5A" w:rsidRPr="00BD209A">
        <w:t xml:space="preserve"> Definitions.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As used in this chapter, unless a different meaning is clearly indicated by the context: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(1) </w:t>
      </w:r>
      <w:r w:rsidR="00BD209A" w:rsidRPr="00BD209A">
        <w:rPr>
          <w:color w:val="000000"/>
        </w:rPr>
        <w:t>"</w:t>
      </w:r>
      <w:r w:rsidRPr="00BD209A">
        <w:rPr>
          <w:color w:val="000000"/>
        </w:rPr>
        <w:t>Addition</w:t>
      </w:r>
      <w:r w:rsidR="00BD209A" w:rsidRPr="00BD209A">
        <w:rPr>
          <w:color w:val="000000"/>
        </w:rPr>
        <w:t>"</w:t>
      </w:r>
      <w:r w:rsidRPr="00BD209A">
        <w:rPr>
          <w:color w:val="000000"/>
        </w:rPr>
        <w:t xml:space="preserve"> means the extension or increase in floor area or height of a building.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(2) </w:t>
      </w:r>
      <w:r w:rsidR="00BD209A" w:rsidRPr="00BD209A">
        <w:rPr>
          <w:color w:val="000000"/>
        </w:rPr>
        <w:t>"</w:t>
      </w:r>
      <w:r w:rsidRPr="00BD209A">
        <w:rPr>
          <w:color w:val="000000"/>
        </w:rPr>
        <w:t>Building</w:t>
      </w:r>
      <w:r w:rsidR="00BD209A" w:rsidRPr="00BD209A">
        <w:rPr>
          <w:color w:val="000000"/>
        </w:rPr>
        <w:t>"</w:t>
      </w:r>
      <w:r w:rsidRPr="00BD209A">
        <w:rPr>
          <w:color w:val="000000"/>
        </w:rPr>
        <w:t xml:space="preserve"> means any combination of materials, which comprises a structure affording facilities or shelter for any occupancy.  The word </w:t>
      </w:r>
      <w:r w:rsidR="00BD209A" w:rsidRPr="00BD209A">
        <w:rPr>
          <w:color w:val="000000"/>
        </w:rPr>
        <w:t>"</w:t>
      </w:r>
      <w:r w:rsidRPr="00BD209A">
        <w:rPr>
          <w:color w:val="000000"/>
        </w:rPr>
        <w:t>building</w:t>
      </w:r>
      <w:r w:rsidR="00BD209A" w:rsidRPr="00BD209A">
        <w:rPr>
          <w:color w:val="000000"/>
        </w:rPr>
        <w:t>"</w:t>
      </w:r>
      <w:r w:rsidRPr="00BD209A">
        <w:rPr>
          <w:color w:val="000000"/>
        </w:rPr>
        <w:t xml:space="preserve"> must be construed wherever used in this chapter as if followed by the words </w:t>
      </w:r>
      <w:r w:rsidR="00BD209A" w:rsidRPr="00BD209A">
        <w:rPr>
          <w:color w:val="000000"/>
        </w:rPr>
        <w:t>"</w:t>
      </w:r>
      <w:r w:rsidRPr="00BD209A">
        <w:rPr>
          <w:color w:val="000000"/>
        </w:rPr>
        <w:t>or part or parts of the building and all equipment in the building</w:t>
      </w:r>
      <w:r w:rsidR="00BD209A" w:rsidRPr="00BD209A">
        <w:rPr>
          <w:color w:val="000000"/>
        </w:rPr>
        <w:t>"</w:t>
      </w:r>
      <w:r w:rsidRPr="00BD209A">
        <w:rPr>
          <w:color w:val="000000"/>
        </w:rPr>
        <w:t xml:space="preserve"> unless the context clearly requires a different meaning.  The term </w:t>
      </w:r>
      <w:r w:rsidR="00BD209A" w:rsidRPr="00BD209A">
        <w:rPr>
          <w:color w:val="000000"/>
        </w:rPr>
        <w:t>"</w:t>
      </w:r>
      <w:r w:rsidRPr="00BD209A">
        <w:rPr>
          <w:color w:val="000000"/>
        </w:rPr>
        <w:t>building</w:t>
      </w:r>
      <w:r w:rsidR="00BD209A" w:rsidRPr="00BD209A">
        <w:rPr>
          <w:color w:val="000000"/>
        </w:rPr>
        <w:t>"</w:t>
      </w:r>
      <w:r w:rsidRPr="00BD209A">
        <w:rPr>
          <w:color w:val="000000"/>
        </w:rPr>
        <w:t xml:space="preserve"> includes manufactured buildings but not manufactured housing or buildings heated to less than fifty degrees Fahrenheit.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(3) </w:t>
      </w:r>
      <w:r w:rsidR="00BD209A" w:rsidRPr="00BD209A">
        <w:rPr>
          <w:color w:val="000000"/>
        </w:rPr>
        <w:t>"</w:t>
      </w:r>
      <w:r w:rsidRPr="00BD209A">
        <w:rPr>
          <w:color w:val="000000"/>
        </w:rPr>
        <w:t>Building inspection department</w:t>
      </w:r>
      <w:r w:rsidR="00BD209A" w:rsidRPr="00BD209A">
        <w:rPr>
          <w:color w:val="000000"/>
        </w:rPr>
        <w:t>"</w:t>
      </w:r>
      <w:r w:rsidRPr="00BD209A">
        <w:rPr>
          <w:color w:val="000000"/>
        </w:rPr>
        <w:t xml:space="preserve"> means the agency of a local jurisdiction with authority to make energy related building inspections and to enforce state and local laws, ordinances, and regulations applicable to the construction of buildings.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(4) </w:t>
      </w:r>
      <w:r w:rsidR="00BD209A" w:rsidRPr="00BD209A">
        <w:rPr>
          <w:color w:val="000000"/>
        </w:rPr>
        <w:t>"</w:t>
      </w:r>
      <w:r w:rsidRPr="00BD209A">
        <w:rPr>
          <w:color w:val="000000"/>
        </w:rPr>
        <w:t>Construction</w:t>
      </w:r>
      <w:r w:rsidR="00BD209A" w:rsidRPr="00BD209A">
        <w:rPr>
          <w:color w:val="000000"/>
        </w:rPr>
        <w:t>"</w:t>
      </w:r>
      <w:r w:rsidRPr="00BD209A">
        <w:rPr>
          <w:color w:val="000000"/>
        </w:rPr>
        <w:t xml:space="preserve"> means the erection, fabrication, reconstruction, alteration, conversion, or repair of a building, or the installation of equipment in a building.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(5) </w:t>
      </w:r>
      <w:r w:rsidR="00BD209A" w:rsidRPr="00BD209A">
        <w:rPr>
          <w:color w:val="000000"/>
        </w:rPr>
        <w:t>"</w:t>
      </w:r>
      <w:r w:rsidRPr="00BD209A">
        <w:rPr>
          <w:color w:val="000000"/>
        </w:rPr>
        <w:t>Equipment</w:t>
      </w:r>
      <w:r w:rsidR="00BD209A" w:rsidRPr="00BD209A">
        <w:rPr>
          <w:color w:val="000000"/>
        </w:rPr>
        <w:t>"</w:t>
      </w:r>
      <w:r w:rsidRPr="00BD209A">
        <w:rPr>
          <w:color w:val="000000"/>
        </w:rPr>
        <w:t xml:space="preserve"> means components associated with plumbing, heating, electrical, ventilating, air conditioning, lighting and refrigerating systems, and elevators, dumbwaiters, escalators, boilers, and pressure vessels.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(6) </w:t>
      </w:r>
      <w:r w:rsidR="00BD209A" w:rsidRPr="00BD209A">
        <w:rPr>
          <w:color w:val="000000"/>
        </w:rPr>
        <w:t>"</w:t>
      </w:r>
      <w:r w:rsidRPr="00BD209A">
        <w:rPr>
          <w:color w:val="000000"/>
        </w:rPr>
        <w:t>Local jurisdiction</w:t>
      </w:r>
      <w:r w:rsidR="00BD209A" w:rsidRPr="00BD209A">
        <w:rPr>
          <w:color w:val="000000"/>
        </w:rPr>
        <w:t>"</w:t>
      </w:r>
      <w:r w:rsidRPr="00BD209A">
        <w:rPr>
          <w:color w:val="000000"/>
        </w:rPr>
        <w:t xml:space="preserve"> means a county, city, municipality, or other political subdivision of this State.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(7) </w:t>
      </w:r>
      <w:r w:rsidR="00BD209A" w:rsidRPr="00BD209A">
        <w:rPr>
          <w:color w:val="000000"/>
        </w:rPr>
        <w:t>"</w:t>
      </w:r>
      <w:r w:rsidRPr="00BD209A">
        <w:rPr>
          <w:color w:val="000000"/>
        </w:rPr>
        <w:t>One</w:t>
      </w:r>
      <w:r w:rsidR="00BD209A" w:rsidRPr="00BD209A">
        <w:rPr>
          <w:color w:val="000000"/>
        </w:rPr>
        <w:noBreakHyphen/>
      </w:r>
      <w:r w:rsidRPr="00BD209A">
        <w:rPr>
          <w:color w:val="000000"/>
        </w:rPr>
        <w:t xml:space="preserve"> or two</w:t>
      </w:r>
      <w:r w:rsidR="00BD209A" w:rsidRPr="00BD209A">
        <w:rPr>
          <w:color w:val="000000"/>
        </w:rPr>
        <w:noBreakHyphen/>
      </w:r>
      <w:r w:rsidRPr="00BD209A">
        <w:rPr>
          <w:color w:val="000000"/>
        </w:rPr>
        <w:t>family dwelling</w:t>
      </w:r>
      <w:r w:rsidR="00BD209A" w:rsidRPr="00BD209A">
        <w:rPr>
          <w:color w:val="000000"/>
        </w:rPr>
        <w:t>"</w:t>
      </w:r>
      <w:r w:rsidRPr="00BD209A">
        <w:rPr>
          <w:color w:val="000000"/>
        </w:rPr>
        <w:t xml:space="preserve"> means a building which contains one or two units, each providing complete, independent living facilities for one or more persons, including permanent provisions for sleeping, cooking, and sanitation. </w:t>
      </w: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(8) </w:t>
      </w:r>
      <w:r w:rsidR="00BD209A" w:rsidRPr="00BD209A">
        <w:rPr>
          <w:color w:val="000000"/>
        </w:rPr>
        <w:t>"</w:t>
      </w:r>
      <w:r w:rsidRPr="00BD209A">
        <w:rPr>
          <w:color w:val="000000"/>
        </w:rPr>
        <w:t>Renovations</w:t>
      </w:r>
      <w:r w:rsidR="00BD209A" w:rsidRPr="00BD209A">
        <w:rPr>
          <w:color w:val="000000"/>
        </w:rPr>
        <w:t>"</w:t>
      </w:r>
      <w:r w:rsidRPr="00BD209A">
        <w:rPr>
          <w:color w:val="000000"/>
        </w:rPr>
        <w:t xml:space="preserve"> means the condition where within any twelve</w:t>
      </w:r>
      <w:r w:rsidR="00BD209A" w:rsidRPr="00BD209A">
        <w:rPr>
          <w:color w:val="000000"/>
        </w:rPr>
        <w:noBreakHyphen/>
      </w:r>
      <w:r w:rsidRPr="00BD209A">
        <w:rPr>
          <w:color w:val="000000"/>
        </w:rPr>
        <w:t xml:space="preserve">month period, alterations or repairs costing in excess of fifty percent of the then physical value of the building are made to an existing building.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3;  1981 Act No. 125, </w:t>
      </w:r>
      <w:r w:rsidR="00BD209A" w:rsidRPr="00BD209A">
        <w:rPr>
          <w:color w:val="000000"/>
        </w:rPr>
        <w:t xml:space="preserve">Section </w:t>
      </w:r>
      <w:r w:rsidR="00406A5A" w:rsidRPr="00BD209A">
        <w:rPr>
          <w:color w:val="000000"/>
        </w:rPr>
        <w:t xml:space="preserve">1;  2009 Act No. 46, </w:t>
      </w:r>
      <w:r w:rsidR="00BD209A" w:rsidRPr="00BD209A">
        <w:rPr>
          <w:color w:val="000000"/>
        </w:rPr>
        <w:t xml:space="preserve">Section </w:t>
      </w:r>
      <w:r w:rsidR="00406A5A" w:rsidRPr="00BD209A">
        <w:rPr>
          <w:color w:val="000000"/>
        </w:rPr>
        <w:t xml:space="preserve">1, eff July 1, 2009.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30.</w:t>
      </w:r>
      <w:r w:rsidR="00406A5A" w:rsidRPr="00BD209A">
        <w:t xml:space="preserve"> Energy Standard adopted;  compliance.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The 2006 edition of the International Energy Conservation Code is adopted as the Energy Standard.  All new and renovated buildings and additions constructed within the State must comply with this standard.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4;  1981 Act No. 125, </w:t>
      </w:r>
      <w:r w:rsidR="00BD209A" w:rsidRPr="00BD209A">
        <w:rPr>
          <w:color w:val="000000"/>
        </w:rPr>
        <w:t xml:space="preserve">Sections </w:t>
      </w:r>
      <w:r w:rsidR="00406A5A" w:rsidRPr="00BD209A">
        <w:rPr>
          <w:color w:val="000000"/>
        </w:rPr>
        <w:t xml:space="preserve">2, 4;  1992 Act No. 449, Part III, </w:t>
      </w:r>
      <w:r w:rsidR="00BD209A" w:rsidRPr="00BD209A">
        <w:rPr>
          <w:color w:val="000000"/>
        </w:rPr>
        <w:t xml:space="preserve">Section </w:t>
      </w:r>
      <w:r w:rsidR="00406A5A" w:rsidRPr="00BD209A">
        <w:rPr>
          <w:color w:val="000000"/>
        </w:rPr>
        <w:t xml:space="preserve">2;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40.</w:t>
      </w:r>
      <w:r w:rsidR="00406A5A" w:rsidRPr="00BD209A">
        <w:t xml:space="preserve"> Appeal by local jurisdiction for variance based on special local conditions;  factors considered.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BD209A" w:rsidRPr="00BD209A">
        <w:rPr>
          <w:color w:val="000000"/>
        </w:rPr>
        <w:t>'</w:t>
      </w:r>
      <w:r w:rsidRPr="00BD209A">
        <w:rPr>
          <w:color w:val="000000"/>
        </w:rPr>
        <w:t xml:space="preserve">s satisfaction that the proposed variance: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(1) is consistent with this chapter, so that its application will not reduce statewide uniformity of effective energy conservation;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(2) does not discriminate against particular technologies, techniques, or materials;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(3) does not unnecessarily increase the cost of construction and operation of the building in the jurisdiction;  or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(4) is necessary to protect the public health, safety, and welfare within the jurisdiction. </w:t>
      </w: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Copies of an approved variance must be provided upon the request by the State Energy Office.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5;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50.</w:t>
      </w:r>
      <w:r w:rsidR="00406A5A" w:rsidRPr="00BD209A">
        <w:t xml:space="preserve"> Enforcement by local building officials or jurisdictions;  examination and approval of plans;  permit requirement;  inspection during construction;  certificate of occupancy.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(A) Local building officials shall enforce the provisions of the Energy Standard.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(B) In areas of the State without a building official, the local jurisdiction may designate its engineer, director of public works, or chief fire inspector to enforce the provisions of the Energy Standard.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Upon request, the State Energy Office shall provide local jurisdictions a brief synopsis of the Energy Standard, the Residential Energy Efficiency Requirements that apply to South Carolina, and penalties.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 </w:t>
      </w: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(F) A building constructed after the effective date of the Energy Standard must not be used or occupied until a certificate of occupancy has been issued.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6;  1981 Act No. 125, </w:t>
      </w:r>
      <w:r w:rsidR="00BD209A" w:rsidRPr="00BD209A">
        <w:rPr>
          <w:color w:val="000000"/>
        </w:rPr>
        <w:t xml:space="preserve">Section </w:t>
      </w:r>
      <w:r w:rsidR="00406A5A" w:rsidRPr="00BD209A">
        <w:rPr>
          <w:color w:val="000000"/>
        </w:rPr>
        <w:t xml:space="preserve">3;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60.</w:t>
      </w:r>
      <w:r w:rsidR="00406A5A" w:rsidRPr="00BD209A">
        <w:t xml:space="preserve"> Fee schedule.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Each local jurisdiction may establish a schedule of fees for the functions performed by the building inspection department in connection with the enforcement of this chapter.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7;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70.</w:t>
      </w:r>
      <w:r w:rsidR="00406A5A" w:rsidRPr="00BD209A">
        <w:t xml:space="preserve"> Local appeals boards and process for routine granting of variances for recreational and certain other dwellings;  relief from duty to appoint local appeals board;  boards serving two or more jurisdictions.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 </w:t>
      </w: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(B) Where local jurisdictions have been relieved of the duty to appoint an appeals board because qualified people cannot be found in the jurisdiction, appeals may be made to the South Carolina Building Codes Council. </w:t>
      </w: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8;  1981 Act No. 125, </w:t>
      </w:r>
      <w:r w:rsidR="00BD209A" w:rsidRPr="00BD209A">
        <w:rPr>
          <w:color w:val="000000"/>
        </w:rPr>
        <w:t xml:space="preserve">Section </w:t>
      </w:r>
      <w:r w:rsidR="00406A5A" w:rsidRPr="00BD209A">
        <w:rPr>
          <w:color w:val="000000"/>
        </w:rPr>
        <w:t xml:space="preserve">5;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80.</w:t>
      </w:r>
      <w:r w:rsidR="00406A5A" w:rsidRPr="00BD209A">
        <w:t xml:space="preserve"> Injunctions.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9;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09A">
        <w:rPr>
          <w:rFonts w:cs="Times New Roman"/>
          <w:b/>
          <w:color w:val="000000"/>
        </w:rPr>
        <w:t xml:space="preserve">SECTION </w:t>
      </w:r>
      <w:r w:rsidR="00406A5A" w:rsidRPr="00BD209A">
        <w:rPr>
          <w:rFonts w:cs="Times New Roman"/>
          <w:b/>
        </w:rPr>
        <w:t>6</w:t>
      </w:r>
      <w:r w:rsidRPr="00BD209A">
        <w:rPr>
          <w:rFonts w:cs="Times New Roman"/>
          <w:b/>
        </w:rPr>
        <w:noBreakHyphen/>
      </w:r>
      <w:r w:rsidR="00406A5A" w:rsidRPr="00BD209A">
        <w:rPr>
          <w:rFonts w:cs="Times New Roman"/>
          <w:b/>
        </w:rPr>
        <w:t>10</w:t>
      </w:r>
      <w:r w:rsidRPr="00BD209A">
        <w:rPr>
          <w:rFonts w:cs="Times New Roman"/>
          <w:b/>
        </w:rPr>
        <w:noBreakHyphen/>
      </w:r>
      <w:r w:rsidR="00406A5A" w:rsidRPr="00BD209A">
        <w:rPr>
          <w:rFonts w:cs="Times New Roman"/>
          <w:b/>
        </w:rPr>
        <w:t>90.</w:t>
      </w:r>
      <w:r w:rsidR="00406A5A" w:rsidRPr="00BD209A">
        <w:t xml:space="preserve"> Penalties. </w:t>
      </w:r>
    </w:p>
    <w:p w:rsid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A5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 </w:t>
      </w:r>
    </w:p>
    <w:p w:rsidR="00BD209A" w:rsidRPr="00BD209A" w:rsidRDefault="00406A5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09A">
        <w:rPr>
          <w:color w:val="000000"/>
        </w:rPr>
        <w:tab/>
        <w:t xml:space="preserve">(B) A separate violation is deemed to have occurred with respect to each building not in compliance with this chapter.  Each day the violation continues constitutes a separate violation. </w:t>
      </w:r>
    </w:p>
    <w:p w:rsidR="00BD209A" w:rsidRPr="00BD209A" w:rsidRDefault="00BD209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A5A" w:rsidRPr="00BD209A">
        <w:rPr>
          <w:color w:val="000000"/>
        </w:rPr>
        <w:t xml:space="preserve">  1979 Act No. 156, </w:t>
      </w:r>
      <w:r w:rsidR="00BD209A" w:rsidRPr="00BD209A">
        <w:rPr>
          <w:color w:val="000000"/>
        </w:rPr>
        <w:t xml:space="preserve">Section </w:t>
      </w:r>
      <w:r w:rsidR="00406A5A" w:rsidRPr="00BD209A">
        <w:rPr>
          <w:color w:val="000000"/>
        </w:rPr>
        <w:t xml:space="preserve">10;  2009 Act No. 46, </w:t>
      </w:r>
      <w:r w:rsidR="00BD209A" w:rsidRPr="00BD209A">
        <w:rPr>
          <w:color w:val="000000"/>
        </w:rPr>
        <w:t xml:space="preserve">Section </w:t>
      </w:r>
      <w:r w:rsidR="00406A5A" w:rsidRPr="00BD209A">
        <w:rPr>
          <w:color w:val="000000"/>
        </w:rPr>
        <w:t xml:space="preserve">1, eff July 1, 2009. </w:t>
      </w:r>
    </w:p>
    <w:p w:rsidR="00C326EA" w:rsidRDefault="00C326EA"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D209A" w:rsidRDefault="00184435" w:rsidP="00BD2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209A" w:rsidSect="00BD20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9A" w:rsidRDefault="00BD209A" w:rsidP="00BD209A">
      <w:r>
        <w:separator/>
      </w:r>
    </w:p>
  </w:endnote>
  <w:endnote w:type="continuationSeparator" w:id="0">
    <w:p w:rsidR="00BD209A" w:rsidRDefault="00BD209A" w:rsidP="00BD2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A" w:rsidRPr="00BD209A" w:rsidRDefault="00BD209A" w:rsidP="00BD20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A" w:rsidRPr="00BD209A" w:rsidRDefault="00BD209A" w:rsidP="00BD20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A" w:rsidRPr="00BD209A" w:rsidRDefault="00BD209A" w:rsidP="00BD2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9A" w:rsidRDefault="00BD209A" w:rsidP="00BD209A">
      <w:r>
        <w:separator/>
      </w:r>
    </w:p>
  </w:footnote>
  <w:footnote w:type="continuationSeparator" w:id="0">
    <w:p w:rsidR="00BD209A" w:rsidRDefault="00BD209A" w:rsidP="00BD2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A" w:rsidRPr="00BD209A" w:rsidRDefault="00BD209A" w:rsidP="00BD20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A" w:rsidRPr="00BD209A" w:rsidRDefault="00BD209A" w:rsidP="00BD20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A" w:rsidRPr="00BD209A" w:rsidRDefault="00BD209A" w:rsidP="00BD20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6A5A"/>
    <w:rsid w:val="00013F41"/>
    <w:rsid w:val="00025E41"/>
    <w:rsid w:val="00032BBE"/>
    <w:rsid w:val="00093290"/>
    <w:rsid w:val="000A5053"/>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6A5A"/>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32DB"/>
    <w:rsid w:val="00B769CF"/>
    <w:rsid w:val="00BB1998"/>
    <w:rsid w:val="00BC4DB4"/>
    <w:rsid w:val="00BD209A"/>
    <w:rsid w:val="00BD6078"/>
    <w:rsid w:val="00C326EA"/>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09A"/>
    <w:rPr>
      <w:rFonts w:ascii="Tahoma" w:hAnsi="Tahoma" w:cs="Tahoma"/>
      <w:sz w:val="16"/>
      <w:szCs w:val="16"/>
    </w:rPr>
  </w:style>
  <w:style w:type="character" w:customStyle="1" w:styleId="BalloonTextChar">
    <w:name w:val="Balloon Text Char"/>
    <w:basedOn w:val="DefaultParagraphFont"/>
    <w:link w:val="BalloonText"/>
    <w:uiPriority w:val="99"/>
    <w:semiHidden/>
    <w:rsid w:val="00BD209A"/>
    <w:rPr>
      <w:rFonts w:ascii="Tahoma" w:hAnsi="Tahoma" w:cs="Tahoma"/>
      <w:sz w:val="16"/>
      <w:szCs w:val="16"/>
    </w:rPr>
  </w:style>
  <w:style w:type="paragraph" w:styleId="Header">
    <w:name w:val="header"/>
    <w:basedOn w:val="Normal"/>
    <w:link w:val="HeaderChar"/>
    <w:uiPriority w:val="99"/>
    <w:semiHidden/>
    <w:unhideWhenUsed/>
    <w:rsid w:val="00BD209A"/>
    <w:pPr>
      <w:tabs>
        <w:tab w:val="center" w:pos="4680"/>
        <w:tab w:val="right" w:pos="9360"/>
      </w:tabs>
    </w:pPr>
  </w:style>
  <w:style w:type="character" w:customStyle="1" w:styleId="HeaderChar">
    <w:name w:val="Header Char"/>
    <w:basedOn w:val="DefaultParagraphFont"/>
    <w:link w:val="Header"/>
    <w:uiPriority w:val="99"/>
    <w:semiHidden/>
    <w:rsid w:val="00BD209A"/>
  </w:style>
  <w:style w:type="paragraph" w:styleId="Footer">
    <w:name w:val="footer"/>
    <w:basedOn w:val="Normal"/>
    <w:link w:val="FooterChar"/>
    <w:uiPriority w:val="99"/>
    <w:semiHidden/>
    <w:unhideWhenUsed/>
    <w:rsid w:val="00BD209A"/>
    <w:pPr>
      <w:tabs>
        <w:tab w:val="center" w:pos="4680"/>
        <w:tab w:val="right" w:pos="9360"/>
      </w:tabs>
    </w:pPr>
  </w:style>
  <w:style w:type="character" w:customStyle="1" w:styleId="FooterChar">
    <w:name w:val="Footer Char"/>
    <w:basedOn w:val="DefaultParagraphFont"/>
    <w:link w:val="Footer"/>
    <w:uiPriority w:val="99"/>
    <w:semiHidden/>
    <w:rsid w:val="00BD209A"/>
  </w:style>
  <w:style w:type="character" w:styleId="Hyperlink">
    <w:name w:val="Hyperlink"/>
    <w:basedOn w:val="DefaultParagraphFont"/>
    <w:semiHidden/>
    <w:rsid w:val="00C326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1637</Words>
  <Characters>9333</Characters>
  <Application>Microsoft Office Word</Application>
  <DocSecurity>0</DocSecurity>
  <Lines>77</Lines>
  <Paragraphs>21</Paragraphs>
  <ScaleCrop>false</ScaleCrop>
  <Company>LPITS</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