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EA9" w:rsidRDefault="00E01EA9">
      <w:pPr>
        <w:jc w:val="center"/>
      </w:pPr>
      <w:r>
        <w:t>DISCLAIMER</w:t>
      </w:r>
    </w:p>
    <w:p w:rsidR="00E01EA9" w:rsidRDefault="00E01EA9"/>
    <w:p w:rsidR="00E01EA9" w:rsidRDefault="00E01EA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01EA9" w:rsidRDefault="00E01EA9"/>
    <w:p w:rsidR="00E01EA9" w:rsidRDefault="00E01E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01EA9" w:rsidRDefault="00E01EA9"/>
    <w:p w:rsidR="00E01EA9" w:rsidRDefault="00E01E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01EA9" w:rsidRDefault="00E01EA9"/>
    <w:p w:rsidR="00E01EA9" w:rsidRDefault="00E01EA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01EA9" w:rsidRDefault="00E01EA9"/>
    <w:p w:rsidR="00E01EA9" w:rsidRDefault="00E01EA9">
      <w:r>
        <w:br w:type="page"/>
      </w: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467">
        <w:lastRenderedPageBreak/>
        <w:t>CHAPTER 5.</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2467">
        <w:t xml:space="preserve"> INVESTMENT OF FUNDS BY POLITICAL SUBDIVISIONS</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01EA9" w:rsidRDefault="00ED2467"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467">
        <w:rPr>
          <w:rFonts w:cs="Times New Roman"/>
          <w:b/>
        </w:rPr>
        <w:t xml:space="preserve">SECTION </w:t>
      </w:r>
      <w:r w:rsidR="00BF378E" w:rsidRPr="00ED2467">
        <w:rPr>
          <w:rFonts w:cs="Times New Roman"/>
          <w:b/>
          <w:bCs/>
        </w:rPr>
        <w:t>6</w:t>
      </w:r>
      <w:r w:rsidRPr="00ED2467">
        <w:rPr>
          <w:rFonts w:cs="Times New Roman"/>
          <w:b/>
          <w:bCs/>
        </w:rPr>
        <w:noBreakHyphen/>
      </w:r>
      <w:r w:rsidR="00BF378E" w:rsidRPr="00ED2467">
        <w:rPr>
          <w:rFonts w:cs="Times New Roman"/>
          <w:b/>
          <w:bCs/>
        </w:rPr>
        <w:t>5</w:t>
      </w:r>
      <w:r w:rsidRPr="00ED2467">
        <w:rPr>
          <w:rFonts w:cs="Times New Roman"/>
          <w:b/>
          <w:bCs/>
        </w:rPr>
        <w:noBreakHyphen/>
      </w:r>
      <w:r w:rsidR="00BF378E" w:rsidRPr="00ED2467">
        <w:rPr>
          <w:rFonts w:cs="Times New Roman"/>
          <w:b/>
          <w:bCs/>
        </w:rPr>
        <w:t>10.</w:t>
      </w:r>
      <w:r w:rsidR="00BF378E" w:rsidRPr="00ED2467">
        <w:rPr>
          <w:bCs/>
        </w:rPr>
        <w:t xml:space="preserve"> Authorized investments by political subdivisions.</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(a) The governing body of any municipality, county, school district, or other local government unit or political subdivision and county treasurers may invest money subject to their control and jurisdiction in:</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(1) Obligations of the United States and its agencies, the principal and interest of which is fully guaranteed by the United States.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(2) Obligations issued by the Federal Financing Bank, Federal Farm Credit Bank, the Bank of Cooperatives, the Federal Intermediate Credit Bank, the Federal Land Banks, the Federal Home Loan Banks, the Federal Home Loan Mortgage Corporation, the Federal National Mortgage Association, the Government National Mortgage Association, the Federal Housing Administration, and the Farmers Home Administration, if, at the time of investment, the obligor has a long</w:t>
      </w:r>
      <w:r w:rsidR="00ED2467" w:rsidRPr="00ED2467">
        <w:rPr>
          <w:color w:val="000000"/>
        </w:rPr>
        <w:noBreakHyphen/>
      </w:r>
      <w:r w:rsidRPr="00ED2467">
        <w:rPr>
          <w:color w:val="000000"/>
        </w:rPr>
        <w:t>term, unenhanced, unsecured debt rating in one of the top two ratings categories, without regard to a refinement or gradation of rating category by numerical modifier or otherwise, issued by at least two nationally recognized credit rating organizations.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(3)(i) General obligations of the State of South Carolina or any of its political units;  or (ii) revenue obligations of the State of South Carolina or its political units, if at the time of investment, the obligor has a long</w:t>
      </w:r>
      <w:r w:rsidR="00ED2467" w:rsidRPr="00ED2467">
        <w:rPr>
          <w:color w:val="000000"/>
        </w:rPr>
        <w:noBreakHyphen/>
      </w:r>
      <w:r w:rsidRPr="00ED2467">
        <w:rPr>
          <w:color w:val="000000"/>
        </w:rPr>
        <w:t>term, unenhanced, unsecured debt rating in one of the top two ratings categories, without regard to a refinement or gradation of rating category by numerical modifier or otherwise, issued by at least two nationally recognized credit rating organizations.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(4) Savings and Loan Associations to the extent that the same are insured by an agency of the federal government.</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(5) Certificates of deposit where the certificates are collaterally secured by securities of the type described in (1) and (2) above held by a third party as escrow agent or custodian, of a market value not less than the amount of the certificates of deposit so secured, including interest;  provided, however, such collateral shall not be required to the extent the same are insured by an agency of the federal government.</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(6) Repurchase agreements when collateralized by securities as set forth in this section.</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(7) No load open</w:t>
      </w:r>
      <w:r w:rsidR="00ED2467" w:rsidRPr="00ED2467">
        <w:rPr>
          <w:color w:val="000000"/>
        </w:rPr>
        <w:noBreakHyphen/>
      </w:r>
      <w:r w:rsidRPr="00ED2467">
        <w:rPr>
          <w:color w:val="000000"/>
        </w:rPr>
        <w:t>end or closed</w:t>
      </w:r>
      <w:r w:rsidR="00ED2467" w:rsidRPr="00ED2467">
        <w:rPr>
          <w:color w:val="000000"/>
        </w:rPr>
        <w:noBreakHyphen/>
      </w:r>
      <w:r w:rsidRPr="00ED2467">
        <w:rPr>
          <w:color w:val="000000"/>
        </w:rPr>
        <w:t>end management type investment companies or investment trusts registered under the Investment Company Act of 1940, as amended, where the investment is made by a bank or trust company or savings and loan association or other financial institution when acting as trustee or agent for a bond or other debt issue of that local government unit, political subdivision, or county treasurer if the particular portfolio of the investment company or investment trust in which the investment is made (i) is limited to obligations described in items (1), (2), (3), and (6) of this subsection, and (ii) has among its objectives the attempt to maintain a constant net asset value of one dollar a share and to that end, value its assets by the amortized cost method.</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(8) A political subdivision receiving Medicaid funds appropriated by the General Assembly in the annual general appropriations act may utilize appropriated funds and other monies generated by hospital operations to participate in principal protected investments in the form of notes, bonds, guaranteed investment contracts, debentures, or other contracts issued by a bank chartered in the United States or agency of a bank if chartered in the United States, financial institution, insurance company, or other entity which provides for full principal payment at the end of a contract term not to exceed twelve years if the issuer has received a rating in one of three highest general rating categories issued by no fewer than two nationally recognized credit rating organizations. No more than forty percent of the appropriated funds and other monies generated by hospital operations may be invested in the manner provided in this item. Revenue realized pursuant to these investments must be expended on health care services.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(b) The provisions of this chapter shall not impair the power of a municipality, county, school district or other local governmental unit or political subdivision or county treasurer to hold funds in deposit accounts with banking institutions as otherwise authorized by law.</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lastRenderedPageBreak/>
        <w:tab/>
        <w:t>(c) Such investments shall have maturities consistent with the time or times when the invested moneys will be needed in cash.</w:t>
      </w: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 xml:space="preserve">(d) For purposes of subsection (a), in the case of a defeased obligation, an obligation shall be treated as the obligation of the issuer of the obligation included in the qualifying defeasance escrow for the defeased obligation. A </w:t>
      </w:r>
      <w:r w:rsidR="00ED2467" w:rsidRPr="00ED2467">
        <w:rPr>
          <w:color w:val="000000"/>
        </w:rPr>
        <w:t>"</w:t>
      </w:r>
      <w:r w:rsidRPr="00ED2467">
        <w:rPr>
          <w:color w:val="000000"/>
        </w:rPr>
        <w:t>defeased obligation</w:t>
      </w:r>
      <w:r w:rsidR="00ED2467" w:rsidRPr="00ED2467">
        <w:rPr>
          <w:color w:val="000000"/>
        </w:rPr>
        <w:t>"</w:t>
      </w:r>
      <w:r w:rsidRPr="00ED2467">
        <w:rPr>
          <w:color w:val="000000"/>
        </w:rPr>
        <w:t xml:space="preserve"> means any obligation the payment of which is secured and payable solely from a qualifying defeasance escrow and the terms of which may not be amended or modified without the consent of each of the holders of the defeased obligation. A </w:t>
      </w:r>
      <w:r w:rsidR="00ED2467" w:rsidRPr="00ED2467">
        <w:rPr>
          <w:color w:val="000000"/>
        </w:rPr>
        <w:t>"</w:t>
      </w:r>
      <w:r w:rsidRPr="00ED2467">
        <w:rPr>
          <w:color w:val="000000"/>
        </w:rPr>
        <w:t>qualifying defeasance escrow</w:t>
      </w:r>
      <w:r w:rsidR="00ED2467" w:rsidRPr="00ED2467">
        <w:rPr>
          <w:color w:val="000000"/>
        </w:rPr>
        <w:t>"</w:t>
      </w:r>
      <w:r w:rsidRPr="00ED2467">
        <w:rPr>
          <w:color w:val="000000"/>
        </w:rPr>
        <w:t xml:space="preserve"> means a deposit of securities, including defeasance obligations, with a trustee or similar fiduciary under the terms of an agreement that requires the trustee or fiduciary to apply the proceeds of any interest payments or maturity of the defeasance obligation to the payment of the defeased obligation and when the trustee or fiduciary has received verification from a certified public accountant that the payments will be sufficient to pay the defeased obligation timely. A defeasance obligation must not be callable or subject to prepayment by the issuer and it must be a direct general obligation of the United States and its agencies, or an obligation the payment of principal and interest on which is fully and unconditionally guaranteed by the United States.</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378E" w:rsidRPr="00ED2467">
        <w:rPr>
          <w:color w:val="000000"/>
        </w:rPr>
        <w:t xml:space="preserve">  1962 Code </w:t>
      </w:r>
      <w:r w:rsidR="00ED2467" w:rsidRPr="00ED2467">
        <w:rPr>
          <w:color w:val="000000"/>
        </w:rPr>
        <w:t xml:space="preserve">Section </w:t>
      </w:r>
      <w:r w:rsidR="00BF378E" w:rsidRPr="00ED2467">
        <w:rPr>
          <w:color w:val="000000"/>
        </w:rPr>
        <w:t>1</w:t>
      </w:r>
      <w:r w:rsidR="00ED2467" w:rsidRPr="00ED2467">
        <w:rPr>
          <w:color w:val="000000"/>
        </w:rPr>
        <w:noBreakHyphen/>
      </w:r>
      <w:r w:rsidR="00BF378E" w:rsidRPr="00ED2467">
        <w:rPr>
          <w:color w:val="000000"/>
        </w:rPr>
        <w:t xml:space="preserve">67;  1967 (55) 625;  1977 Act No. 222;  1988 Act No. 518;  1990 Act No. 326, </w:t>
      </w:r>
      <w:r w:rsidR="00ED2467" w:rsidRPr="00ED2467">
        <w:rPr>
          <w:color w:val="000000"/>
        </w:rPr>
        <w:t xml:space="preserve">Section </w:t>
      </w:r>
      <w:r w:rsidR="00BF378E" w:rsidRPr="00ED2467">
        <w:rPr>
          <w:color w:val="000000"/>
        </w:rPr>
        <w:t xml:space="preserve">1;  2000 Act No. 387, Part II, </w:t>
      </w:r>
      <w:r w:rsidR="00ED2467" w:rsidRPr="00ED2467">
        <w:rPr>
          <w:color w:val="000000"/>
        </w:rPr>
        <w:t xml:space="preserve">Section </w:t>
      </w:r>
      <w:r w:rsidR="00BF378E" w:rsidRPr="00ED2467">
        <w:rPr>
          <w:color w:val="000000"/>
        </w:rPr>
        <w:t xml:space="preserve">50;  2007 Act No. 110, </w:t>
      </w:r>
      <w:r w:rsidR="00ED2467" w:rsidRPr="00ED2467">
        <w:rPr>
          <w:color w:val="000000"/>
        </w:rPr>
        <w:t xml:space="preserve">Section </w:t>
      </w:r>
      <w:r w:rsidR="00BF378E" w:rsidRPr="00ED2467">
        <w:rPr>
          <w:color w:val="000000"/>
        </w:rPr>
        <w:t xml:space="preserve">56, eff June 21, 2007;  2007 Act No. 116, </w:t>
      </w:r>
      <w:r w:rsidR="00ED2467" w:rsidRPr="00ED2467">
        <w:rPr>
          <w:color w:val="000000"/>
        </w:rPr>
        <w:t xml:space="preserve">Section </w:t>
      </w:r>
      <w:r w:rsidR="00BF378E" w:rsidRPr="00ED2467">
        <w:rPr>
          <w:color w:val="000000"/>
        </w:rPr>
        <w:t xml:space="preserve">61, eff June 28, 2007, applicable for tax years beginning after 2007;  2008 Act No. 231, </w:t>
      </w:r>
      <w:r w:rsidR="00ED2467" w:rsidRPr="00ED2467">
        <w:rPr>
          <w:color w:val="000000"/>
        </w:rPr>
        <w:t xml:space="preserve">Section </w:t>
      </w:r>
      <w:r w:rsidR="00BF378E" w:rsidRPr="00ED2467">
        <w:rPr>
          <w:color w:val="000000"/>
        </w:rPr>
        <w:t>3, eff upon approval (became law without the Governor</w:t>
      </w:r>
      <w:r w:rsidR="00ED2467" w:rsidRPr="00ED2467">
        <w:rPr>
          <w:color w:val="000000"/>
        </w:rPr>
        <w:t>'</w:t>
      </w:r>
      <w:r w:rsidR="00BF378E" w:rsidRPr="00ED2467">
        <w:rPr>
          <w:color w:val="000000"/>
        </w:rPr>
        <w:t>s signature on May 22, 2008).</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D2467"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467">
        <w:rPr>
          <w:rFonts w:cs="Times New Roman"/>
          <w:b/>
          <w:bCs/>
        </w:rPr>
        <w:t xml:space="preserve">SECTION </w:t>
      </w:r>
      <w:r w:rsidR="00BF378E" w:rsidRPr="00ED2467">
        <w:rPr>
          <w:rFonts w:cs="Times New Roman"/>
          <w:b/>
          <w:bCs/>
        </w:rPr>
        <w:t>6</w:t>
      </w:r>
      <w:r w:rsidRPr="00ED2467">
        <w:rPr>
          <w:rFonts w:cs="Times New Roman"/>
          <w:b/>
          <w:bCs/>
        </w:rPr>
        <w:noBreakHyphen/>
      </w:r>
      <w:r w:rsidR="00BF378E" w:rsidRPr="00ED2467">
        <w:rPr>
          <w:rFonts w:cs="Times New Roman"/>
          <w:b/>
          <w:bCs/>
        </w:rPr>
        <w:t>5</w:t>
      </w:r>
      <w:r w:rsidRPr="00ED2467">
        <w:rPr>
          <w:rFonts w:cs="Times New Roman"/>
          <w:b/>
          <w:bCs/>
        </w:rPr>
        <w:noBreakHyphen/>
      </w:r>
      <w:r w:rsidR="00BF378E" w:rsidRPr="00ED2467">
        <w:rPr>
          <w:rFonts w:cs="Times New Roman"/>
          <w:b/>
          <w:bCs/>
        </w:rPr>
        <w:t>15.</w:t>
      </w:r>
      <w:r w:rsidR="00BF378E" w:rsidRPr="00ED2467">
        <w:rPr>
          <w:bCs/>
        </w:rPr>
        <w:t xml:space="preserve"> Securing deposits of funds by local entities.</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 xml:space="preserve">(A) As used in this section, </w:t>
      </w:r>
      <w:r w:rsidR="00ED2467" w:rsidRPr="00ED2467">
        <w:rPr>
          <w:color w:val="000000"/>
        </w:rPr>
        <w:t>"</w:t>
      </w:r>
      <w:r w:rsidRPr="00ED2467">
        <w:rPr>
          <w:color w:val="000000"/>
        </w:rPr>
        <w:t>local entity</w:t>
      </w:r>
      <w:r w:rsidR="00ED2467" w:rsidRPr="00ED2467">
        <w:rPr>
          <w:color w:val="000000"/>
        </w:rPr>
        <w:t>"</w:t>
      </w:r>
      <w:r w:rsidRPr="00ED2467">
        <w:rPr>
          <w:color w:val="000000"/>
        </w:rPr>
        <w:t xml:space="preserve"> means the governing body of a municipality, county, school district, other local government unit or political subdivision, or a county treasurer.</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(B) A qualified public depository, as defined in subsection (G) of this section,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(C) To the extent that these deposits exceed the amount of insurance coverage provided by the Federal Deposit Insurance Corporation, the qualified public depository at the time of deposit must:</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(1) furnish an indemnity bond in a responsible surety company authorized to do business in this State;  or</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(2) pledge as collateral:</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(a) obligations of the United States;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(b) obligations fully guaranteed both as to principal and interest by the United States;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(c) general obligations of this State or any political subdivision of this State;  or</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(d) obligations of the Federal National Mortgage Association, the Federal Home Loan Bank, Federal Farm Credit Bank, or the Federal Home Loan Mortgage Corporation;  or</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the criteria established and prescribed by the local entity.</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(D) The local entity must exercise prudence in accepting collateral securities or other forms of deposit security.</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(E)(1) A qualified public depository has the following options: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r>
      <w:r w:rsidRPr="00ED2467">
        <w:rPr>
          <w:color w:val="000000"/>
        </w:rPr>
        <w:tab/>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w:t>
      </w:r>
      <w:r w:rsidR="00ED2467" w:rsidRPr="00ED2467">
        <w:rPr>
          <w:color w:val="000000"/>
        </w:rPr>
        <w:t>'</w:t>
      </w:r>
      <w:r w:rsidRPr="00ED2467">
        <w:rPr>
          <w:color w:val="000000"/>
        </w:rPr>
        <w:t>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w:t>
      </w:r>
      <w:r w:rsidR="00ED2467" w:rsidRPr="00ED2467">
        <w:rPr>
          <w:color w:val="000000"/>
        </w:rPr>
        <w:t>'</w:t>
      </w:r>
      <w:r w:rsidRPr="00ED2467">
        <w:rPr>
          <w:color w:val="000000"/>
        </w:rPr>
        <w:t>s compliance and providing monthly reports to each local entity in the pool.</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(2) Notwithstanding the provisions of item (1) of this subsection, the local entity, when other federal or state law applies, may require a qualified public depository to secure all uninsured funds separately under the Dedicated Method.</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(F) A qualified public depository shall not accept or retain any funds that are required to be secured unless it has deposited eligible collateral equal to its required collateral with some proper depository pursuant to this chapter.</w:t>
      </w: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 xml:space="preserve">(G) </w:t>
      </w:r>
      <w:r w:rsidR="00ED2467" w:rsidRPr="00ED2467">
        <w:rPr>
          <w:color w:val="000000"/>
        </w:rPr>
        <w:t>"</w:t>
      </w:r>
      <w:r w:rsidRPr="00ED2467">
        <w:rPr>
          <w:color w:val="000000"/>
        </w:rPr>
        <w:t>Qualified public depository</w:t>
      </w:r>
      <w:r w:rsidR="00ED2467" w:rsidRPr="00ED2467">
        <w:rPr>
          <w:color w:val="000000"/>
        </w:rPr>
        <w:t>"</w:t>
      </w:r>
      <w:r w:rsidRPr="00ED2467">
        <w:rPr>
          <w:color w:val="000000"/>
        </w:rPr>
        <w:t xml:space="preserve"> means any national banking association, state banking association, federal savings and loan association, or federal savings bank located in this State and any bank, trust company, or savings institution organized under the law of this State that receives or holds funds that are secured pursuant to this chapter.</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378E" w:rsidRPr="00ED2467">
        <w:rPr>
          <w:color w:val="000000"/>
        </w:rPr>
        <w:t xml:space="preserve">  2004 Act No. 270, </w:t>
      </w:r>
      <w:r w:rsidR="00ED2467" w:rsidRPr="00ED2467">
        <w:rPr>
          <w:color w:val="000000"/>
        </w:rPr>
        <w:t xml:space="preserve">Section </w:t>
      </w:r>
      <w:r w:rsidR="00BF378E" w:rsidRPr="00ED2467">
        <w:rPr>
          <w:color w:val="000000"/>
        </w:rPr>
        <w:t xml:space="preserve">1, eff July 16, 2004;  2008 Act No. 231, </w:t>
      </w:r>
      <w:r w:rsidR="00ED2467" w:rsidRPr="00ED2467">
        <w:rPr>
          <w:color w:val="000000"/>
        </w:rPr>
        <w:t xml:space="preserve">Section </w:t>
      </w:r>
      <w:r w:rsidR="00BF378E" w:rsidRPr="00ED2467">
        <w:rPr>
          <w:color w:val="000000"/>
        </w:rPr>
        <w:t>1, eff January 1, 2009.</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D2467"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467">
        <w:rPr>
          <w:rFonts w:cs="Times New Roman"/>
          <w:b/>
          <w:bCs/>
        </w:rPr>
        <w:t xml:space="preserve">SECTION </w:t>
      </w:r>
      <w:r w:rsidR="00BF378E" w:rsidRPr="00ED2467">
        <w:rPr>
          <w:rFonts w:cs="Times New Roman"/>
          <w:b/>
          <w:bCs/>
        </w:rPr>
        <w:t>6</w:t>
      </w:r>
      <w:r w:rsidRPr="00ED2467">
        <w:rPr>
          <w:rFonts w:cs="Times New Roman"/>
          <w:b/>
          <w:bCs/>
        </w:rPr>
        <w:noBreakHyphen/>
      </w:r>
      <w:r w:rsidR="00BF378E" w:rsidRPr="00ED2467">
        <w:rPr>
          <w:rFonts w:cs="Times New Roman"/>
          <w:b/>
          <w:bCs/>
        </w:rPr>
        <w:t>5</w:t>
      </w:r>
      <w:r w:rsidRPr="00ED2467">
        <w:rPr>
          <w:rFonts w:cs="Times New Roman"/>
          <w:b/>
          <w:bCs/>
        </w:rPr>
        <w:noBreakHyphen/>
      </w:r>
      <w:r w:rsidR="00BF378E" w:rsidRPr="00ED2467">
        <w:rPr>
          <w:rFonts w:cs="Times New Roman"/>
          <w:b/>
          <w:bCs/>
        </w:rPr>
        <w:t>20.</w:t>
      </w:r>
      <w:r w:rsidR="00BF378E" w:rsidRPr="00ED2467">
        <w:rPr>
          <w:bCs/>
        </w:rPr>
        <w:t xml:space="preserve"> Delegation of investment authority.</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 xml:space="preserve">The governing body may delegate the investment authority provided by </w:t>
      </w:r>
      <w:r w:rsidR="00ED2467" w:rsidRPr="00ED2467">
        <w:rPr>
          <w:color w:val="000000"/>
        </w:rPr>
        <w:t xml:space="preserve">Section </w:t>
      </w:r>
      <w:r w:rsidRPr="00ED2467">
        <w:rPr>
          <w:color w:val="000000"/>
        </w:rPr>
        <w:t>6</w:t>
      </w:r>
      <w:r w:rsidR="00ED2467" w:rsidRPr="00ED2467">
        <w:rPr>
          <w:color w:val="000000"/>
        </w:rPr>
        <w:noBreakHyphen/>
      </w:r>
      <w:r w:rsidRPr="00ED2467">
        <w:rPr>
          <w:color w:val="000000"/>
        </w:rPr>
        <w:t>5</w:t>
      </w:r>
      <w:r w:rsidR="00ED2467" w:rsidRPr="00ED2467">
        <w:rPr>
          <w:color w:val="000000"/>
        </w:rPr>
        <w:noBreakHyphen/>
      </w:r>
      <w:r w:rsidRPr="00ED2467">
        <w:rPr>
          <w:color w:val="000000"/>
        </w:rPr>
        <w:t>10 to the treasurer or other financial officer or any fiscal agent or corporate trustee charged with custody of the funds of the local government, who shall thereafter assume full responsibility for such investment transaction until the delegation of authority terminates or is revoked.</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378E" w:rsidRPr="00ED2467">
        <w:rPr>
          <w:color w:val="000000"/>
        </w:rPr>
        <w:t xml:space="preserve">  1962 Code </w:t>
      </w:r>
      <w:r w:rsidR="00ED2467" w:rsidRPr="00ED2467">
        <w:rPr>
          <w:color w:val="000000"/>
        </w:rPr>
        <w:t xml:space="preserve">Section </w:t>
      </w:r>
      <w:r w:rsidR="00BF378E" w:rsidRPr="00ED2467">
        <w:rPr>
          <w:color w:val="000000"/>
        </w:rPr>
        <w:t>1</w:t>
      </w:r>
      <w:r w:rsidR="00ED2467" w:rsidRPr="00ED2467">
        <w:rPr>
          <w:color w:val="000000"/>
        </w:rPr>
        <w:noBreakHyphen/>
      </w:r>
      <w:r w:rsidR="00BF378E" w:rsidRPr="00ED2467">
        <w:rPr>
          <w:color w:val="000000"/>
        </w:rPr>
        <w:t>68;  1967 (55) 625.</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D2467"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467">
        <w:rPr>
          <w:rFonts w:cs="Times New Roman"/>
          <w:b/>
          <w:bCs/>
        </w:rPr>
        <w:t xml:space="preserve">SECTION </w:t>
      </w:r>
      <w:r w:rsidR="00BF378E" w:rsidRPr="00ED2467">
        <w:rPr>
          <w:rFonts w:cs="Times New Roman"/>
          <w:b/>
          <w:bCs/>
        </w:rPr>
        <w:t>6</w:t>
      </w:r>
      <w:r w:rsidRPr="00ED2467">
        <w:rPr>
          <w:rFonts w:cs="Times New Roman"/>
          <w:b/>
          <w:bCs/>
        </w:rPr>
        <w:noBreakHyphen/>
      </w:r>
      <w:r w:rsidR="00BF378E" w:rsidRPr="00ED2467">
        <w:rPr>
          <w:rFonts w:cs="Times New Roman"/>
          <w:b/>
          <w:bCs/>
        </w:rPr>
        <w:t>5</w:t>
      </w:r>
      <w:r w:rsidRPr="00ED2467">
        <w:rPr>
          <w:rFonts w:cs="Times New Roman"/>
          <w:b/>
          <w:bCs/>
        </w:rPr>
        <w:noBreakHyphen/>
      </w:r>
      <w:r w:rsidR="00BF378E" w:rsidRPr="00ED2467">
        <w:rPr>
          <w:rFonts w:cs="Times New Roman"/>
          <w:b/>
          <w:bCs/>
        </w:rPr>
        <w:t>30.</w:t>
      </w:r>
      <w:r w:rsidR="00BF378E" w:rsidRPr="00ED2467">
        <w:rPr>
          <w:bCs/>
        </w:rPr>
        <w:t xml:space="preserve"> Assistance of State Treasurer.</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The State Treasurer is authorized to assist local governments in investing funds that are temporarily in excess of operating needs by:</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(1) Explaining investment opportunities to such local governments through publication and other appropriate means;</w:t>
      </w:r>
    </w:p>
    <w:p w:rsidR="00ED2467"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(2) Acquainting such local governments with the State</w:t>
      </w:r>
      <w:r w:rsidR="00ED2467" w:rsidRPr="00ED2467">
        <w:rPr>
          <w:color w:val="000000"/>
        </w:rPr>
        <w:t>'</w:t>
      </w:r>
      <w:r w:rsidRPr="00ED2467">
        <w:rPr>
          <w:color w:val="000000"/>
        </w:rPr>
        <w:t>s practice and experience in investing short</w:t>
      </w:r>
      <w:r w:rsidR="00ED2467" w:rsidRPr="00ED2467">
        <w:rPr>
          <w:color w:val="000000"/>
        </w:rPr>
        <w:noBreakHyphen/>
      </w:r>
      <w:r w:rsidRPr="00ED2467">
        <w:rPr>
          <w:color w:val="000000"/>
        </w:rPr>
        <w:t>term funds;  and</w:t>
      </w: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r>
      <w:r w:rsidRPr="00ED2467">
        <w:rPr>
          <w:color w:val="000000"/>
        </w:rPr>
        <w:tab/>
        <w:t>(3) Providing technical assistance in investment of idle funds to local governments that request such assistance.</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378E" w:rsidRPr="00ED2467">
        <w:rPr>
          <w:color w:val="000000"/>
        </w:rPr>
        <w:t xml:space="preserve">  1962 Code </w:t>
      </w:r>
      <w:r w:rsidR="00ED2467" w:rsidRPr="00ED2467">
        <w:rPr>
          <w:color w:val="000000"/>
        </w:rPr>
        <w:t xml:space="preserve">Section </w:t>
      </w:r>
      <w:r w:rsidR="00BF378E" w:rsidRPr="00ED2467">
        <w:rPr>
          <w:color w:val="000000"/>
        </w:rPr>
        <w:t>1</w:t>
      </w:r>
      <w:r w:rsidR="00ED2467" w:rsidRPr="00ED2467">
        <w:rPr>
          <w:color w:val="000000"/>
        </w:rPr>
        <w:noBreakHyphen/>
      </w:r>
      <w:r w:rsidR="00BF378E" w:rsidRPr="00ED2467">
        <w:rPr>
          <w:color w:val="000000"/>
        </w:rPr>
        <w:t>69;  1967 (55) 625.</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D2467"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2467">
        <w:rPr>
          <w:rFonts w:cs="Times New Roman"/>
          <w:b/>
          <w:bCs/>
        </w:rPr>
        <w:t xml:space="preserve">SECTION </w:t>
      </w:r>
      <w:r w:rsidR="00BF378E" w:rsidRPr="00ED2467">
        <w:rPr>
          <w:rFonts w:cs="Times New Roman"/>
          <w:b/>
          <w:bCs/>
        </w:rPr>
        <w:t>6</w:t>
      </w:r>
      <w:r w:rsidRPr="00ED2467">
        <w:rPr>
          <w:rFonts w:cs="Times New Roman"/>
          <w:b/>
          <w:bCs/>
        </w:rPr>
        <w:noBreakHyphen/>
      </w:r>
      <w:r w:rsidR="00BF378E" w:rsidRPr="00ED2467">
        <w:rPr>
          <w:rFonts w:cs="Times New Roman"/>
          <w:b/>
          <w:bCs/>
        </w:rPr>
        <w:t>5</w:t>
      </w:r>
      <w:r w:rsidRPr="00ED2467">
        <w:rPr>
          <w:rFonts w:cs="Times New Roman"/>
          <w:b/>
          <w:bCs/>
        </w:rPr>
        <w:noBreakHyphen/>
      </w:r>
      <w:r w:rsidR="00BF378E" w:rsidRPr="00ED2467">
        <w:rPr>
          <w:rFonts w:cs="Times New Roman"/>
          <w:b/>
          <w:bCs/>
        </w:rPr>
        <w:t>40.</w:t>
      </w:r>
      <w:r w:rsidR="00BF378E" w:rsidRPr="00ED2467">
        <w:rPr>
          <w:bCs/>
        </w:rPr>
        <w:t xml:space="preserve"> Chapter shall be supplementary to other statutes.</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1EA9" w:rsidRDefault="00BF378E"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D2467">
        <w:rPr>
          <w:color w:val="000000"/>
        </w:rPr>
        <w:tab/>
        <w:t>The provisions of this chapter are not in lieu of, but are supplementary to, existing analogous statutory authorizations relating to investments, all of which shall remain in full force and effect.</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F378E" w:rsidRPr="00ED2467">
        <w:rPr>
          <w:color w:val="000000"/>
        </w:rPr>
        <w:t xml:space="preserve">  1962 Code </w:t>
      </w:r>
      <w:r w:rsidR="00ED2467" w:rsidRPr="00ED2467">
        <w:rPr>
          <w:color w:val="000000"/>
        </w:rPr>
        <w:t xml:space="preserve">Section </w:t>
      </w:r>
      <w:r w:rsidR="00BF378E" w:rsidRPr="00ED2467">
        <w:rPr>
          <w:color w:val="000000"/>
        </w:rPr>
        <w:t>1</w:t>
      </w:r>
      <w:r w:rsidR="00ED2467" w:rsidRPr="00ED2467">
        <w:rPr>
          <w:color w:val="000000"/>
        </w:rPr>
        <w:noBreakHyphen/>
      </w:r>
      <w:r w:rsidR="00BF378E" w:rsidRPr="00ED2467">
        <w:rPr>
          <w:color w:val="000000"/>
        </w:rPr>
        <w:t>70;  1967 (55) 625.</w:t>
      </w:r>
    </w:p>
    <w:p w:rsidR="00E01EA9" w:rsidRDefault="00E01EA9"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D2467" w:rsidRDefault="00184435" w:rsidP="00ED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D2467" w:rsidSect="00ED24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467" w:rsidRDefault="00ED2467" w:rsidP="00ED2467">
      <w:r>
        <w:separator/>
      </w:r>
    </w:p>
  </w:endnote>
  <w:endnote w:type="continuationSeparator" w:id="0">
    <w:p w:rsidR="00ED2467" w:rsidRDefault="00ED2467" w:rsidP="00ED2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467" w:rsidRDefault="00ED2467" w:rsidP="00ED2467">
      <w:r>
        <w:separator/>
      </w:r>
    </w:p>
  </w:footnote>
  <w:footnote w:type="continuationSeparator" w:id="0">
    <w:p w:rsidR="00ED2467" w:rsidRDefault="00ED2467" w:rsidP="00ED2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467" w:rsidRPr="00ED2467" w:rsidRDefault="00ED2467" w:rsidP="00ED24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F378E"/>
    <w:rsid w:val="000065F4"/>
    <w:rsid w:val="00013F41"/>
    <w:rsid w:val="00025E41"/>
    <w:rsid w:val="00032BBE"/>
    <w:rsid w:val="0007300D"/>
    <w:rsid w:val="00093290"/>
    <w:rsid w:val="0009512B"/>
    <w:rsid w:val="000B3C22"/>
    <w:rsid w:val="000C162E"/>
    <w:rsid w:val="000D09A6"/>
    <w:rsid w:val="000E046A"/>
    <w:rsid w:val="000E70C4"/>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BF378E"/>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01EA9"/>
    <w:rsid w:val="00E306FD"/>
    <w:rsid w:val="00E309DA"/>
    <w:rsid w:val="00E93DE0"/>
    <w:rsid w:val="00E94C32"/>
    <w:rsid w:val="00EA4DE9"/>
    <w:rsid w:val="00EA58A8"/>
    <w:rsid w:val="00ED2467"/>
    <w:rsid w:val="00EE5FEB"/>
    <w:rsid w:val="00EF0EB1"/>
    <w:rsid w:val="00F649C7"/>
    <w:rsid w:val="00F64FC7"/>
    <w:rsid w:val="00F72BF1"/>
    <w:rsid w:val="00F73C63"/>
    <w:rsid w:val="00F76B63"/>
    <w:rsid w:val="00F77C56"/>
    <w:rsid w:val="00F8024C"/>
    <w:rsid w:val="00F958B7"/>
    <w:rsid w:val="00FA0BEC"/>
    <w:rsid w:val="00FA3047"/>
    <w:rsid w:val="00FC13BD"/>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2467"/>
    <w:pPr>
      <w:tabs>
        <w:tab w:val="center" w:pos="4680"/>
        <w:tab w:val="right" w:pos="9360"/>
      </w:tabs>
    </w:pPr>
  </w:style>
  <w:style w:type="character" w:customStyle="1" w:styleId="HeaderChar">
    <w:name w:val="Header Char"/>
    <w:basedOn w:val="DefaultParagraphFont"/>
    <w:link w:val="Header"/>
    <w:uiPriority w:val="99"/>
    <w:semiHidden/>
    <w:rsid w:val="00ED2467"/>
  </w:style>
  <w:style w:type="paragraph" w:styleId="Footer">
    <w:name w:val="footer"/>
    <w:basedOn w:val="Normal"/>
    <w:link w:val="FooterChar"/>
    <w:uiPriority w:val="99"/>
    <w:semiHidden/>
    <w:unhideWhenUsed/>
    <w:rsid w:val="00ED2467"/>
    <w:pPr>
      <w:tabs>
        <w:tab w:val="center" w:pos="4680"/>
        <w:tab w:val="right" w:pos="9360"/>
      </w:tabs>
    </w:pPr>
  </w:style>
  <w:style w:type="character" w:customStyle="1" w:styleId="FooterChar">
    <w:name w:val="Footer Char"/>
    <w:basedOn w:val="DefaultParagraphFont"/>
    <w:link w:val="Footer"/>
    <w:uiPriority w:val="99"/>
    <w:semiHidden/>
    <w:rsid w:val="00ED2467"/>
  </w:style>
  <w:style w:type="paragraph" w:styleId="BalloonText">
    <w:name w:val="Balloon Text"/>
    <w:basedOn w:val="Normal"/>
    <w:link w:val="BalloonTextChar"/>
    <w:uiPriority w:val="99"/>
    <w:semiHidden/>
    <w:unhideWhenUsed/>
    <w:rsid w:val="00ED2467"/>
    <w:rPr>
      <w:rFonts w:ascii="Tahoma" w:hAnsi="Tahoma" w:cs="Tahoma"/>
      <w:sz w:val="16"/>
      <w:szCs w:val="16"/>
    </w:rPr>
  </w:style>
  <w:style w:type="character" w:customStyle="1" w:styleId="BalloonTextChar">
    <w:name w:val="Balloon Text Char"/>
    <w:basedOn w:val="DefaultParagraphFont"/>
    <w:link w:val="BalloonText"/>
    <w:uiPriority w:val="99"/>
    <w:semiHidden/>
    <w:rsid w:val="00ED2467"/>
    <w:rPr>
      <w:rFonts w:ascii="Tahoma" w:hAnsi="Tahoma" w:cs="Tahoma"/>
      <w:sz w:val="16"/>
      <w:szCs w:val="16"/>
    </w:rPr>
  </w:style>
  <w:style w:type="character" w:styleId="Hyperlink">
    <w:name w:val="Hyperlink"/>
    <w:basedOn w:val="DefaultParagraphFont"/>
    <w:semiHidden/>
    <w:rsid w:val="00E01E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2018</Words>
  <Characters>11504</Characters>
  <Application>Microsoft Office Word</Application>
  <DocSecurity>0</DocSecurity>
  <Lines>95</Lines>
  <Paragraphs>26</Paragraphs>
  <ScaleCrop>false</ScaleCrop>
  <Company>LPITS</Company>
  <LinksUpToDate>false</LinksUpToDate>
  <CharactersWithSpaces>13496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2013-12-23T14:31:00Z</dcterms:created>
  <dcterms:modified xsi:type="dcterms:W3CDTF">2014-01-03T17:29:00Z</dcterms:modified>
</cp:coreProperties>
</file>